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1F9FC" w14:textId="46C07BB6" w:rsidR="00390267" w:rsidRPr="001062CC" w:rsidRDefault="00390267" w:rsidP="00390267">
      <w:pPr>
        <w:widowControl w:val="0"/>
        <w:tabs>
          <w:tab w:val="right" w:pos="9639"/>
        </w:tabs>
        <w:spacing w:after="0"/>
        <w:rPr>
          <w:b/>
          <w:bCs/>
          <w:color w:val="000000"/>
          <w:sz w:val="26"/>
          <w:szCs w:val="26"/>
        </w:rPr>
      </w:pPr>
      <w:r w:rsidRPr="001062CC">
        <w:rPr>
          <w:rFonts w:eastAsia="Times New Roman"/>
          <w:b/>
          <w:bCs/>
          <w:sz w:val="24"/>
          <w:szCs w:val="24"/>
        </w:rPr>
        <w:t>3GPP T</w:t>
      </w:r>
      <w:bookmarkStart w:id="0" w:name="_Ref452454252"/>
      <w:bookmarkEnd w:id="0"/>
      <w:r w:rsidRPr="001062CC">
        <w:rPr>
          <w:rFonts w:eastAsia="Times New Roman"/>
          <w:b/>
          <w:bCs/>
          <w:sz w:val="24"/>
          <w:szCs w:val="24"/>
        </w:rPr>
        <w:t xml:space="preserve">SG-RAN </w:t>
      </w:r>
      <w:r w:rsidRPr="001062CC">
        <w:rPr>
          <w:rFonts w:eastAsia="Times New Roman"/>
          <w:b/>
          <w:sz w:val="24"/>
          <w:szCs w:val="24"/>
        </w:rPr>
        <w:t>WG3 Meeting #11</w:t>
      </w:r>
      <w:r w:rsidR="0052542D">
        <w:rPr>
          <w:rFonts w:eastAsia="Times New Roman"/>
          <w:b/>
          <w:sz w:val="24"/>
          <w:szCs w:val="24"/>
        </w:rPr>
        <w:t>5</w:t>
      </w:r>
      <w:r w:rsidRPr="001062CC">
        <w:rPr>
          <w:rFonts w:eastAsia="Times New Roman"/>
          <w:b/>
          <w:sz w:val="24"/>
          <w:szCs w:val="24"/>
        </w:rPr>
        <w:t xml:space="preserve">e                                                      </w:t>
      </w:r>
      <w:r w:rsidR="00F903F8">
        <w:rPr>
          <w:rFonts w:eastAsia="Times New Roman"/>
          <w:b/>
          <w:sz w:val="24"/>
          <w:szCs w:val="24"/>
        </w:rPr>
        <w:tab/>
      </w:r>
      <w:r w:rsidRPr="001062CC">
        <w:rPr>
          <w:b/>
          <w:bCs/>
          <w:color w:val="000000"/>
          <w:sz w:val="26"/>
          <w:szCs w:val="26"/>
        </w:rPr>
        <w:t>R3-2</w:t>
      </w:r>
      <w:r w:rsidR="0052542D">
        <w:rPr>
          <w:b/>
          <w:bCs/>
          <w:color w:val="000000"/>
          <w:sz w:val="26"/>
          <w:szCs w:val="26"/>
        </w:rPr>
        <w:t>2</w:t>
      </w:r>
      <w:r w:rsidR="00663446">
        <w:rPr>
          <w:b/>
          <w:bCs/>
          <w:color w:val="000000"/>
          <w:sz w:val="26"/>
          <w:szCs w:val="26"/>
        </w:rPr>
        <w:t>1753</w:t>
      </w:r>
    </w:p>
    <w:p w14:paraId="18202845" w14:textId="2C85D525" w:rsidR="00390267" w:rsidRPr="001062CC" w:rsidRDefault="00390267" w:rsidP="00390267">
      <w:pPr>
        <w:widowControl w:val="0"/>
        <w:tabs>
          <w:tab w:val="right" w:pos="9639"/>
        </w:tabs>
        <w:spacing w:after="0"/>
        <w:rPr>
          <w:rFonts w:eastAsia="Times New Roman"/>
          <w:b/>
          <w:bCs/>
          <w:i/>
          <w:sz w:val="24"/>
          <w:szCs w:val="24"/>
        </w:rPr>
      </w:pPr>
      <w:r w:rsidRPr="001062CC">
        <w:rPr>
          <w:b/>
          <w:sz w:val="24"/>
          <w:szCs w:val="24"/>
          <w:lang w:eastAsia="zh-CN"/>
        </w:rPr>
        <w:t xml:space="preserve">E-Meeting: </w:t>
      </w:r>
      <w:r w:rsidR="00D22B35">
        <w:rPr>
          <w:b/>
          <w:sz w:val="24"/>
          <w:szCs w:val="24"/>
          <w:lang w:eastAsia="zh-CN"/>
        </w:rPr>
        <w:t>Feb</w:t>
      </w:r>
      <w:r w:rsidRPr="001062CC">
        <w:rPr>
          <w:b/>
          <w:sz w:val="24"/>
          <w:szCs w:val="24"/>
          <w:lang w:eastAsia="zh-CN"/>
        </w:rPr>
        <w:t xml:space="preserve"> </w:t>
      </w:r>
      <w:r w:rsidR="00D22B35">
        <w:rPr>
          <w:b/>
          <w:sz w:val="24"/>
          <w:szCs w:val="24"/>
          <w:lang w:eastAsia="zh-CN"/>
        </w:rPr>
        <w:t>2</w:t>
      </w:r>
      <w:r w:rsidRPr="001062CC">
        <w:rPr>
          <w:b/>
          <w:sz w:val="24"/>
          <w:szCs w:val="24"/>
          <w:lang w:eastAsia="zh-CN"/>
        </w:rPr>
        <w:t>1</w:t>
      </w:r>
      <w:r w:rsidR="00DC6B3E" w:rsidRPr="001062CC">
        <w:rPr>
          <w:b/>
          <w:sz w:val="24"/>
          <w:szCs w:val="24"/>
          <w:vertAlign w:val="superscript"/>
          <w:lang w:eastAsia="zh-CN"/>
        </w:rPr>
        <w:t>st</w:t>
      </w:r>
      <w:r w:rsidR="00DC6B3E" w:rsidRPr="001062CC">
        <w:rPr>
          <w:b/>
          <w:sz w:val="24"/>
          <w:szCs w:val="24"/>
          <w:lang w:eastAsia="zh-CN"/>
        </w:rPr>
        <w:t xml:space="preserve"> </w:t>
      </w:r>
      <w:r w:rsidRPr="001062CC">
        <w:rPr>
          <w:b/>
          <w:sz w:val="24"/>
          <w:szCs w:val="24"/>
          <w:lang w:eastAsia="zh-CN"/>
        </w:rPr>
        <w:t xml:space="preserve">– </w:t>
      </w:r>
      <w:r w:rsidR="00D22B35">
        <w:rPr>
          <w:b/>
          <w:sz w:val="24"/>
          <w:szCs w:val="24"/>
          <w:lang w:eastAsia="zh-CN"/>
        </w:rPr>
        <w:t>Mar</w:t>
      </w:r>
      <w:r w:rsidRPr="001062CC">
        <w:rPr>
          <w:b/>
          <w:sz w:val="24"/>
          <w:szCs w:val="24"/>
          <w:lang w:eastAsia="zh-CN"/>
        </w:rPr>
        <w:t xml:space="preserve"> </w:t>
      </w:r>
      <w:r w:rsidR="00D22B35">
        <w:rPr>
          <w:b/>
          <w:sz w:val="24"/>
          <w:szCs w:val="24"/>
          <w:lang w:eastAsia="zh-CN"/>
        </w:rPr>
        <w:t>3</w:t>
      </w:r>
      <w:r w:rsidR="00D22B35" w:rsidRPr="00D22B35">
        <w:rPr>
          <w:b/>
          <w:sz w:val="24"/>
          <w:szCs w:val="24"/>
          <w:vertAlign w:val="superscript"/>
          <w:lang w:eastAsia="zh-CN"/>
        </w:rPr>
        <w:t>rd</w:t>
      </w:r>
      <w:r w:rsidRPr="001062CC">
        <w:rPr>
          <w:b/>
          <w:sz w:val="24"/>
          <w:szCs w:val="24"/>
          <w:lang w:eastAsia="zh-CN"/>
        </w:rPr>
        <w:t>, 202</w:t>
      </w:r>
      <w:r w:rsidR="00D22B35">
        <w:rPr>
          <w:b/>
          <w:sz w:val="24"/>
          <w:szCs w:val="24"/>
          <w:lang w:eastAsia="zh-CN"/>
        </w:rPr>
        <w:t>2</w:t>
      </w:r>
      <w:r w:rsidRPr="001062CC">
        <w:rPr>
          <w:b/>
          <w:bCs/>
          <w:color w:val="000000"/>
          <w:sz w:val="26"/>
          <w:szCs w:val="26"/>
        </w:rPr>
        <w:t xml:space="preserve">                                     </w:t>
      </w:r>
    </w:p>
    <w:p w14:paraId="24B58BE0" w14:textId="77777777" w:rsidR="00390267" w:rsidRPr="001062CC" w:rsidRDefault="00390267" w:rsidP="00390267">
      <w:pPr>
        <w:widowControl w:val="0"/>
        <w:tabs>
          <w:tab w:val="right" w:pos="9639"/>
        </w:tabs>
        <w:spacing w:after="0"/>
        <w:rPr>
          <w:b/>
          <w:sz w:val="24"/>
          <w:szCs w:val="24"/>
          <w:lang w:eastAsia="zh-CN"/>
        </w:rPr>
      </w:pPr>
      <w:r w:rsidRPr="001062CC">
        <w:rPr>
          <w:b/>
          <w:sz w:val="24"/>
          <w:szCs w:val="24"/>
          <w:lang w:eastAsia="zh-CN"/>
        </w:rPr>
        <w:tab/>
        <w:t xml:space="preserve"> </w:t>
      </w:r>
    </w:p>
    <w:p w14:paraId="63C3DBAD" w14:textId="5A91E713" w:rsidR="00390267" w:rsidRPr="001062CC" w:rsidRDefault="00390267" w:rsidP="00390267">
      <w:pPr>
        <w:tabs>
          <w:tab w:val="left" w:pos="1985"/>
        </w:tabs>
        <w:spacing w:after="120"/>
        <w:rPr>
          <w:rFonts w:eastAsia="MS Mincho"/>
          <w:b/>
          <w:bCs/>
          <w:sz w:val="24"/>
        </w:rPr>
      </w:pPr>
      <w:r w:rsidRPr="001062CC">
        <w:rPr>
          <w:rFonts w:eastAsia="MS Mincho"/>
          <w:b/>
          <w:bCs/>
          <w:sz w:val="24"/>
        </w:rPr>
        <w:t>Agenda item:</w:t>
      </w:r>
      <w:r w:rsidRPr="001062CC">
        <w:rPr>
          <w:rFonts w:eastAsia="MS Mincho"/>
          <w:b/>
          <w:bCs/>
          <w:sz w:val="24"/>
        </w:rPr>
        <w:tab/>
        <w:t>15.</w:t>
      </w:r>
      <w:r w:rsidR="004765A8" w:rsidRPr="001062CC">
        <w:rPr>
          <w:rFonts w:eastAsia="MS Mincho"/>
          <w:b/>
          <w:bCs/>
          <w:sz w:val="24"/>
        </w:rPr>
        <w:t>3</w:t>
      </w:r>
    </w:p>
    <w:p w14:paraId="6BCF6ABD" w14:textId="77777777" w:rsidR="00390267" w:rsidRPr="001062CC" w:rsidRDefault="00390267" w:rsidP="00390267">
      <w:pPr>
        <w:tabs>
          <w:tab w:val="left" w:pos="1985"/>
        </w:tabs>
        <w:ind w:left="1985" w:hanging="1985"/>
        <w:rPr>
          <w:rFonts w:eastAsia="Times New Roman"/>
          <w:b/>
          <w:bCs/>
          <w:sz w:val="24"/>
        </w:rPr>
      </w:pPr>
      <w:r w:rsidRPr="001062CC">
        <w:rPr>
          <w:rFonts w:eastAsia="Times New Roman"/>
          <w:b/>
          <w:bCs/>
          <w:sz w:val="24"/>
        </w:rPr>
        <w:t>Source:</w:t>
      </w:r>
      <w:r w:rsidRPr="001062CC">
        <w:rPr>
          <w:rFonts w:eastAsia="Times New Roman"/>
          <w:b/>
          <w:bCs/>
          <w:sz w:val="24"/>
        </w:rPr>
        <w:tab/>
        <w:t>Qualcomm Inc.</w:t>
      </w:r>
    </w:p>
    <w:p w14:paraId="0F3ECE46" w14:textId="11F195E5" w:rsidR="00390267" w:rsidRPr="001062CC" w:rsidRDefault="00390267" w:rsidP="00390267">
      <w:pPr>
        <w:ind w:left="1985" w:hanging="1985"/>
        <w:rPr>
          <w:rFonts w:eastAsia="Times New Roman"/>
          <w:b/>
          <w:bCs/>
          <w:sz w:val="24"/>
        </w:rPr>
      </w:pPr>
      <w:r w:rsidRPr="001062CC">
        <w:rPr>
          <w:rFonts w:eastAsia="Times New Roman"/>
          <w:b/>
          <w:bCs/>
          <w:sz w:val="24"/>
        </w:rPr>
        <w:t>Title:</w:t>
      </w:r>
      <w:r w:rsidRPr="001062CC">
        <w:rPr>
          <w:rFonts w:eastAsia="Times New Roman"/>
          <w:b/>
          <w:bCs/>
          <w:sz w:val="24"/>
        </w:rPr>
        <w:tab/>
      </w:r>
      <w:r w:rsidR="00C068C5" w:rsidRPr="001062CC">
        <w:rPr>
          <w:rFonts w:eastAsia="Times New Roman"/>
          <w:b/>
          <w:bCs/>
          <w:sz w:val="24"/>
        </w:rPr>
        <w:t>RAN visible QoE</w:t>
      </w:r>
    </w:p>
    <w:p w14:paraId="777BFF69" w14:textId="77777777" w:rsidR="00390267" w:rsidRPr="001062CC" w:rsidRDefault="00390267" w:rsidP="00390267">
      <w:pPr>
        <w:ind w:left="1985" w:hanging="1985"/>
        <w:rPr>
          <w:rFonts w:eastAsia="Times New Roman"/>
          <w:b/>
          <w:bCs/>
          <w:sz w:val="24"/>
        </w:rPr>
      </w:pPr>
      <w:r w:rsidRPr="001062CC">
        <w:rPr>
          <w:rFonts w:eastAsia="Times New Roman"/>
          <w:b/>
          <w:bCs/>
          <w:sz w:val="24"/>
        </w:rPr>
        <w:t>Document for:</w:t>
      </w:r>
      <w:r w:rsidRPr="001062CC">
        <w:rPr>
          <w:rFonts w:eastAsia="Times New Roman"/>
          <w:b/>
          <w:bCs/>
          <w:sz w:val="24"/>
        </w:rPr>
        <w:tab/>
        <w:t>Discussion and Decision</w:t>
      </w:r>
    </w:p>
    <w:p w14:paraId="6B0250E2" w14:textId="1BC196C3" w:rsidR="00390267" w:rsidRDefault="00390267" w:rsidP="00390267">
      <w:pPr>
        <w:pStyle w:val="Heading1"/>
        <w:numPr>
          <w:ilvl w:val="0"/>
          <w:numId w:val="2"/>
        </w:numPr>
        <w:pBdr>
          <w:top w:val="single" w:sz="12" w:space="2" w:color="auto"/>
        </w:pBdr>
        <w:rPr>
          <w:rFonts w:ascii="Times New Roman" w:hAnsi="Times New Roman"/>
        </w:rPr>
      </w:pPr>
      <w:r w:rsidRPr="001062CC">
        <w:rPr>
          <w:rFonts w:ascii="Times New Roman" w:hAnsi="Times New Roman"/>
        </w:rPr>
        <w:t xml:space="preserve">Introduction </w:t>
      </w:r>
    </w:p>
    <w:p w14:paraId="393E61F1" w14:textId="4232EDC4" w:rsidR="00C9233A" w:rsidRPr="00A56923" w:rsidRDefault="00D75503" w:rsidP="00D75503">
      <w:r w:rsidRPr="00D75503">
        <w:rPr>
          <w:lang w:val="en-US"/>
        </w:rPr>
        <w:t xml:space="preserve">In this paper, we discuss </w:t>
      </w:r>
      <w:r>
        <w:rPr>
          <w:lang w:val="en-US"/>
        </w:rPr>
        <w:t>further on RAN Visible QoE</w:t>
      </w:r>
      <w:r w:rsidRPr="00D75503">
        <w:rPr>
          <w:lang w:val="en-US"/>
        </w:rPr>
        <w:t xml:space="preserve"> based on some agreements and open issues identified in </w:t>
      </w:r>
      <w:r>
        <w:rPr>
          <w:lang w:val="en-US"/>
        </w:rPr>
        <w:t>previous meetings.</w:t>
      </w:r>
    </w:p>
    <w:p w14:paraId="04A23FFF" w14:textId="11C62DAB" w:rsidR="00D81C03" w:rsidRDefault="00D81C03" w:rsidP="00D81C03">
      <w:pPr>
        <w:pStyle w:val="Heading1"/>
        <w:numPr>
          <w:ilvl w:val="0"/>
          <w:numId w:val="2"/>
        </w:numPr>
        <w:pBdr>
          <w:top w:val="single" w:sz="12" w:space="2" w:color="auto"/>
        </w:pBdr>
        <w:tabs>
          <w:tab w:val="num" w:pos="432"/>
        </w:tabs>
        <w:ind w:left="432" w:hanging="432"/>
        <w:rPr>
          <w:rFonts w:ascii="Times New Roman" w:hAnsi="Times New Roman"/>
        </w:rPr>
      </w:pPr>
      <w:r w:rsidRPr="001062CC">
        <w:rPr>
          <w:rFonts w:ascii="Times New Roman" w:hAnsi="Times New Roman"/>
        </w:rPr>
        <w:t>Discussion</w:t>
      </w:r>
    </w:p>
    <w:p w14:paraId="34B87A73" w14:textId="35B03DDF" w:rsidR="00E77C2A" w:rsidRDefault="004E0A1A" w:rsidP="00E77C2A">
      <w:pPr>
        <w:pStyle w:val="Heading2"/>
        <w:numPr>
          <w:ilvl w:val="1"/>
          <w:numId w:val="2"/>
        </w:numPr>
        <w:tabs>
          <w:tab w:val="left" w:pos="720"/>
        </w:tabs>
        <w:rPr>
          <w:rFonts w:ascii="Times New Roman" w:hAnsi="Times New Roman"/>
        </w:rPr>
      </w:pPr>
      <w:r>
        <w:rPr>
          <w:rFonts w:ascii="Times New Roman" w:hAnsi="Times New Roman"/>
        </w:rPr>
        <w:t>Additional reporting periodicities for RVQoE</w:t>
      </w:r>
    </w:p>
    <w:p w14:paraId="45425E0A" w14:textId="5F721217" w:rsidR="00FA1767" w:rsidRPr="00FA1767" w:rsidRDefault="00FA1767" w:rsidP="00337B07">
      <w:pPr>
        <w:rPr>
          <w:lang w:eastAsia="x-none"/>
        </w:rPr>
      </w:pPr>
      <w:r>
        <w:rPr>
          <w:lang w:eastAsia="x-none"/>
        </w:rPr>
        <w:t xml:space="preserve">Only lower reporting periodicities for RVQoE are useful if the intention is to do “real-time” optimizations. </w:t>
      </w:r>
      <w:r w:rsidR="00337B07">
        <w:rPr>
          <w:lang w:eastAsia="x-none"/>
        </w:rPr>
        <w:t>T</w:t>
      </w:r>
      <w:r>
        <w:rPr>
          <w:lang w:eastAsia="x-none"/>
        </w:rPr>
        <w:t>here is no</w:t>
      </w:r>
      <w:r w:rsidR="00337B07">
        <w:rPr>
          <w:lang w:eastAsia="x-none"/>
        </w:rPr>
        <w:t xml:space="preserve">t much benefit </w:t>
      </w:r>
      <w:r>
        <w:rPr>
          <w:lang w:eastAsia="x-none"/>
        </w:rPr>
        <w:t xml:space="preserve">in configuring RVQoE with </w:t>
      </w:r>
      <w:r w:rsidR="00337B07">
        <w:rPr>
          <w:lang w:eastAsia="x-none"/>
        </w:rPr>
        <w:t xml:space="preserve">large </w:t>
      </w:r>
      <w:r>
        <w:rPr>
          <w:lang w:eastAsia="x-none"/>
        </w:rPr>
        <w:t>periodicit</w:t>
      </w:r>
      <w:r w:rsidR="00337B07">
        <w:rPr>
          <w:lang w:eastAsia="x-none"/>
        </w:rPr>
        <w:t>ies</w:t>
      </w:r>
      <w:r w:rsidR="00B4757E">
        <w:rPr>
          <w:lang w:eastAsia="x-none"/>
        </w:rPr>
        <w:t xml:space="preserve">. Since NG-RAN doesn’t know the legacy QoE periodicity, it may even happen that the RVQoE periodicity will become larger than the </w:t>
      </w:r>
      <w:r>
        <w:rPr>
          <w:lang w:eastAsia="x-none"/>
        </w:rPr>
        <w:t>legacy QoE periodicity (which can be up</w:t>
      </w:r>
      <w:r w:rsidR="00B4757E">
        <w:rPr>
          <w:lang w:eastAsia="x-none"/>
        </w:rPr>
        <w:t xml:space="preserve"> </w:t>
      </w:r>
      <w:r>
        <w:rPr>
          <w:lang w:eastAsia="x-none"/>
        </w:rPr>
        <w:t>to a minimum of 1 second</w:t>
      </w:r>
      <w:proofErr w:type="gramStart"/>
      <w:r>
        <w:rPr>
          <w:lang w:eastAsia="x-none"/>
        </w:rPr>
        <w:t>).</w:t>
      </w:r>
      <w:r w:rsidR="00B4757E">
        <w:rPr>
          <w:lang w:eastAsia="x-none"/>
        </w:rPr>
        <w:t>Hence</w:t>
      </w:r>
      <w:proofErr w:type="gramEnd"/>
      <w:r w:rsidR="00B4757E">
        <w:rPr>
          <w:lang w:eastAsia="x-none"/>
        </w:rPr>
        <w:t xml:space="preserve"> we propose to just keep the lower periodicities and not define any additional reporting periodicities.</w:t>
      </w:r>
    </w:p>
    <w:p w14:paraId="479DED64" w14:textId="7AA1EC58" w:rsidR="004E0A1A" w:rsidRPr="00917A4F" w:rsidRDefault="004E0A1A" w:rsidP="004E0A1A">
      <w:pPr>
        <w:contextualSpacing/>
        <w:rPr>
          <w:rFonts w:eastAsiaTheme="minorEastAsia"/>
          <w:lang w:val="en-US" w:eastAsia="zh-CN"/>
        </w:rPr>
      </w:pPr>
      <w:r w:rsidRPr="004E0A1A">
        <w:rPr>
          <w:rFonts w:eastAsiaTheme="minorEastAsia"/>
          <w:b/>
          <w:bCs/>
          <w:lang w:val="en-US" w:eastAsia="zh-CN"/>
        </w:rPr>
        <w:t>Proposal 1</w:t>
      </w:r>
      <w:r w:rsidRPr="004E0A1A">
        <w:rPr>
          <w:rFonts w:eastAsiaTheme="minorEastAsia"/>
          <w:lang w:val="en-US" w:eastAsia="zh-CN"/>
        </w:rPr>
        <w:t>: There is no need to support additional reporting periodicities for RVQoE than what was agreed in R3#114bis-e</w:t>
      </w:r>
    </w:p>
    <w:p w14:paraId="1878A0DF" w14:textId="20C5261D" w:rsidR="004E0A1A" w:rsidRDefault="004E0A1A" w:rsidP="00323DF6">
      <w:pPr>
        <w:pStyle w:val="Heading2"/>
        <w:numPr>
          <w:ilvl w:val="1"/>
          <w:numId w:val="2"/>
        </w:numPr>
        <w:tabs>
          <w:tab w:val="left" w:pos="720"/>
        </w:tabs>
        <w:contextualSpacing/>
        <w:rPr>
          <w:rFonts w:ascii="Times New Roman" w:hAnsi="Times New Roman"/>
        </w:rPr>
      </w:pPr>
      <w:r w:rsidRPr="00917A4F">
        <w:rPr>
          <w:rFonts w:ascii="Times New Roman" w:hAnsi="Times New Roman"/>
        </w:rPr>
        <w:t xml:space="preserve">RVQoE </w:t>
      </w:r>
      <w:r w:rsidR="00917A4F" w:rsidRPr="00917A4F">
        <w:rPr>
          <w:rFonts w:ascii="Times New Roman" w:hAnsi="Times New Roman"/>
        </w:rPr>
        <w:t>handling during RAN overload</w:t>
      </w:r>
    </w:p>
    <w:p w14:paraId="2D3D6C31" w14:textId="439B86AD" w:rsidR="00C37D72" w:rsidRDefault="00937A57" w:rsidP="00C37D72">
      <w:pPr>
        <w:contextualSpacing/>
        <w:rPr>
          <w:lang w:eastAsia="x-none"/>
        </w:rPr>
      </w:pPr>
      <w:r>
        <w:rPr>
          <w:lang w:eastAsia="x-none"/>
        </w:rPr>
        <w:t xml:space="preserve">RVQoE should also be paused/resumed during RAN </w:t>
      </w:r>
      <w:r w:rsidR="00757478">
        <w:rPr>
          <w:lang w:eastAsia="x-none"/>
        </w:rPr>
        <w:t>overload,</w:t>
      </w:r>
      <w:r w:rsidR="00C37D72">
        <w:rPr>
          <w:lang w:eastAsia="x-none"/>
        </w:rPr>
        <w:t xml:space="preserve"> and we prefer using the same pause/resume flag of legacy QoE to pause/resume RVQoE as well.</w:t>
      </w:r>
    </w:p>
    <w:p w14:paraId="02F4A757" w14:textId="77777777" w:rsidR="00C37D72" w:rsidRDefault="00C37D72" w:rsidP="00C37D72">
      <w:pPr>
        <w:contextualSpacing/>
        <w:rPr>
          <w:rFonts w:eastAsiaTheme="minorEastAsia"/>
          <w:lang w:val="en-US" w:eastAsia="zh-CN"/>
        </w:rPr>
      </w:pPr>
    </w:p>
    <w:p w14:paraId="4653DFEE" w14:textId="4C645B7B" w:rsidR="00937A57" w:rsidRDefault="00937A57" w:rsidP="00937A57">
      <w:pPr>
        <w:rPr>
          <w:lang w:eastAsia="x-none"/>
        </w:rPr>
      </w:pPr>
      <w:r>
        <w:rPr>
          <w:lang w:eastAsia="x-none"/>
        </w:rPr>
        <w:t>If we allow no pause/resume of RVQoE, then we are bringing more complexities in the AT commands e.g., UE APP needs to continue providing RVQoE but not legacy QoE to UE AS upon pause indication.</w:t>
      </w:r>
    </w:p>
    <w:p w14:paraId="41166B74" w14:textId="1E850019" w:rsidR="00FB30E4" w:rsidRPr="00937A57" w:rsidRDefault="00757478" w:rsidP="00937A57">
      <w:pPr>
        <w:rPr>
          <w:lang w:eastAsia="x-none"/>
        </w:rPr>
      </w:pPr>
      <w:r>
        <w:rPr>
          <w:lang w:eastAsia="x-none"/>
        </w:rPr>
        <w:t>Also,</w:t>
      </w:r>
      <w:r w:rsidR="00FB30E4">
        <w:rPr>
          <w:lang w:eastAsia="x-none"/>
        </w:rPr>
        <w:t xml:space="preserve"> i</w:t>
      </w:r>
      <w:r w:rsidR="00FB30E4" w:rsidRPr="00FB30E4">
        <w:rPr>
          <w:lang w:eastAsia="x-none"/>
        </w:rPr>
        <w:t>f the network wants to know the QoE during the overload, we always have the legacy QoE reports which will be sent post the overload and can used to identify problems or potential optimizations.</w:t>
      </w:r>
      <w:r w:rsidR="00EF754B">
        <w:rPr>
          <w:lang w:eastAsia="x-none"/>
        </w:rPr>
        <w:t xml:space="preserve"> NG-RAN can also modify the RVQoE periodicity to a larger value if </w:t>
      </w:r>
      <w:r>
        <w:rPr>
          <w:lang w:eastAsia="x-none"/>
        </w:rPr>
        <w:t>it wants to delay the RVQoE reporting.</w:t>
      </w:r>
    </w:p>
    <w:p w14:paraId="1BEF05BD" w14:textId="5BC5844A" w:rsidR="00223F25" w:rsidRDefault="004E0A1A" w:rsidP="004E0A1A">
      <w:pPr>
        <w:contextualSpacing/>
        <w:rPr>
          <w:rFonts w:eastAsiaTheme="minorEastAsia"/>
          <w:lang w:val="en-US" w:eastAsia="zh-CN"/>
        </w:rPr>
      </w:pPr>
      <w:r w:rsidRPr="004E0A1A">
        <w:rPr>
          <w:rFonts w:eastAsiaTheme="minorEastAsia"/>
          <w:b/>
          <w:bCs/>
          <w:lang w:val="en-US" w:eastAsia="zh-CN"/>
        </w:rPr>
        <w:t>Proposal 2:</w:t>
      </w:r>
      <w:r w:rsidRPr="004E0A1A">
        <w:rPr>
          <w:rFonts w:eastAsiaTheme="minorEastAsia"/>
          <w:lang w:val="en-US" w:eastAsia="zh-CN"/>
        </w:rPr>
        <w:t xml:space="preserve"> RVQoE reporting should also be paused upon RAN overload. </w:t>
      </w:r>
    </w:p>
    <w:p w14:paraId="302ACC09" w14:textId="77777777" w:rsidR="00223F25" w:rsidRDefault="00223F25" w:rsidP="004E0A1A">
      <w:pPr>
        <w:contextualSpacing/>
        <w:rPr>
          <w:rFonts w:eastAsiaTheme="minorEastAsia"/>
          <w:lang w:val="en-US" w:eastAsia="zh-CN"/>
        </w:rPr>
      </w:pPr>
    </w:p>
    <w:p w14:paraId="10A8ED99" w14:textId="1F460BD2" w:rsidR="004E0A1A" w:rsidRPr="004E0A1A" w:rsidRDefault="00223F25" w:rsidP="004E0A1A">
      <w:pPr>
        <w:contextualSpacing/>
        <w:rPr>
          <w:rFonts w:eastAsiaTheme="minorEastAsia"/>
          <w:lang w:val="en-US" w:eastAsia="zh-CN"/>
        </w:rPr>
      </w:pPr>
      <w:r w:rsidRPr="00223F25">
        <w:rPr>
          <w:rFonts w:eastAsiaTheme="minorEastAsia"/>
          <w:b/>
          <w:bCs/>
          <w:lang w:val="en-US" w:eastAsia="zh-CN"/>
        </w:rPr>
        <w:t>Proposal</w:t>
      </w:r>
      <w:r w:rsidR="008F64B1">
        <w:rPr>
          <w:rFonts w:eastAsiaTheme="minorEastAsia"/>
          <w:b/>
          <w:bCs/>
          <w:lang w:val="en-US" w:eastAsia="zh-CN"/>
        </w:rPr>
        <w:t xml:space="preserve"> 3</w:t>
      </w:r>
      <w:r>
        <w:rPr>
          <w:rFonts w:eastAsiaTheme="minorEastAsia"/>
          <w:lang w:val="en-US" w:eastAsia="zh-CN"/>
        </w:rPr>
        <w:t xml:space="preserve">: </w:t>
      </w:r>
      <w:r w:rsidR="004E0A1A" w:rsidRPr="004E0A1A">
        <w:rPr>
          <w:rFonts w:eastAsiaTheme="minorEastAsia"/>
          <w:lang w:val="en-US" w:eastAsia="zh-CN"/>
        </w:rPr>
        <w:t xml:space="preserve">If </w:t>
      </w:r>
      <w:r>
        <w:rPr>
          <w:rFonts w:eastAsiaTheme="minorEastAsia"/>
          <w:lang w:val="en-US" w:eastAsia="zh-CN"/>
        </w:rPr>
        <w:t xml:space="preserve">the </w:t>
      </w:r>
      <w:r w:rsidR="004E0A1A" w:rsidRPr="004E0A1A">
        <w:rPr>
          <w:rFonts w:eastAsiaTheme="minorEastAsia"/>
          <w:lang w:val="en-US" w:eastAsia="zh-CN"/>
        </w:rPr>
        <w:t>legacy QoE reporting is paused</w:t>
      </w:r>
      <w:r>
        <w:rPr>
          <w:rFonts w:eastAsiaTheme="minorEastAsia"/>
          <w:lang w:val="en-US" w:eastAsia="zh-CN"/>
        </w:rPr>
        <w:t>/resumed</w:t>
      </w:r>
      <w:r w:rsidR="004E0A1A" w:rsidRPr="004E0A1A">
        <w:rPr>
          <w:rFonts w:eastAsiaTheme="minorEastAsia"/>
          <w:lang w:val="en-US" w:eastAsia="zh-CN"/>
        </w:rPr>
        <w:t>, RVQoE reporting should be paused</w:t>
      </w:r>
      <w:r>
        <w:rPr>
          <w:rFonts w:eastAsiaTheme="minorEastAsia"/>
          <w:lang w:val="en-US" w:eastAsia="zh-CN"/>
        </w:rPr>
        <w:t>/resumed</w:t>
      </w:r>
      <w:r w:rsidR="004E0A1A" w:rsidRPr="004E0A1A">
        <w:rPr>
          <w:rFonts w:eastAsiaTheme="minorEastAsia"/>
          <w:lang w:val="en-US" w:eastAsia="zh-CN"/>
        </w:rPr>
        <w:t xml:space="preserve"> as well</w:t>
      </w:r>
    </w:p>
    <w:p w14:paraId="48C5DCD8" w14:textId="76645CD4" w:rsidR="00917A4F" w:rsidRPr="00917A4F" w:rsidRDefault="00917A4F" w:rsidP="00917A4F">
      <w:pPr>
        <w:pStyle w:val="Heading2"/>
        <w:numPr>
          <w:ilvl w:val="1"/>
          <w:numId w:val="2"/>
        </w:numPr>
        <w:tabs>
          <w:tab w:val="left" w:pos="720"/>
        </w:tabs>
        <w:contextualSpacing/>
        <w:rPr>
          <w:rFonts w:ascii="Times New Roman" w:hAnsi="Times New Roman"/>
        </w:rPr>
      </w:pPr>
      <w:r w:rsidRPr="00917A4F">
        <w:rPr>
          <w:rFonts w:ascii="Times New Roman" w:hAnsi="Times New Roman"/>
        </w:rPr>
        <w:t>Per slice RVQoE</w:t>
      </w:r>
    </w:p>
    <w:p w14:paraId="3BAFB902" w14:textId="033F4129" w:rsidR="004E0A1A" w:rsidRPr="00917A4F" w:rsidRDefault="004E0A1A" w:rsidP="004E0A1A">
      <w:pPr>
        <w:contextualSpacing/>
        <w:rPr>
          <w:rFonts w:eastAsiaTheme="minorEastAsia"/>
          <w:lang w:val="en-US" w:eastAsia="zh-CN"/>
        </w:rPr>
      </w:pPr>
      <w:r w:rsidRPr="004E0A1A">
        <w:rPr>
          <w:rFonts w:eastAsiaTheme="minorEastAsia"/>
          <w:b/>
          <w:bCs/>
          <w:lang w:val="en-US" w:eastAsia="zh-CN"/>
        </w:rPr>
        <w:t xml:space="preserve">Proposal </w:t>
      </w:r>
      <w:r w:rsidR="008F64B1">
        <w:rPr>
          <w:rFonts w:eastAsiaTheme="minorEastAsia"/>
          <w:b/>
          <w:bCs/>
          <w:lang w:val="en-US" w:eastAsia="zh-CN"/>
        </w:rPr>
        <w:t>4</w:t>
      </w:r>
      <w:r w:rsidRPr="004E0A1A">
        <w:rPr>
          <w:rFonts w:eastAsiaTheme="minorEastAsia"/>
          <w:b/>
          <w:bCs/>
          <w:lang w:val="en-US" w:eastAsia="zh-CN"/>
        </w:rPr>
        <w:t>:</w:t>
      </w:r>
      <w:r w:rsidRPr="004E0A1A">
        <w:rPr>
          <w:rFonts w:eastAsiaTheme="minorEastAsia"/>
          <w:lang w:val="en-US" w:eastAsia="zh-CN"/>
        </w:rPr>
        <w:t xml:space="preserve"> Including PDU session ID in RVQoE report is sufficient. There is no need to include S-NSSAI in RVQoE report</w:t>
      </w:r>
    </w:p>
    <w:p w14:paraId="3BA1C567" w14:textId="6510620D" w:rsidR="00917A4F" w:rsidRPr="00917A4F" w:rsidRDefault="00917A4F" w:rsidP="00917A4F">
      <w:pPr>
        <w:pStyle w:val="Heading2"/>
        <w:numPr>
          <w:ilvl w:val="1"/>
          <w:numId w:val="2"/>
        </w:numPr>
        <w:tabs>
          <w:tab w:val="left" w:pos="720"/>
        </w:tabs>
        <w:contextualSpacing/>
        <w:rPr>
          <w:rFonts w:ascii="Times New Roman" w:hAnsi="Times New Roman"/>
        </w:rPr>
      </w:pPr>
      <w:r w:rsidRPr="00917A4F">
        <w:rPr>
          <w:rFonts w:ascii="Times New Roman" w:hAnsi="Times New Roman"/>
        </w:rPr>
        <w:lastRenderedPageBreak/>
        <w:t>Mobility handling for RVQoE</w:t>
      </w:r>
    </w:p>
    <w:p w14:paraId="76ABD533" w14:textId="1D51A1D6" w:rsidR="00AD2887" w:rsidRPr="004E0A1A" w:rsidRDefault="00AD2887" w:rsidP="00AD2887">
      <w:pPr>
        <w:contextualSpacing/>
        <w:rPr>
          <w:rFonts w:eastAsiaTheme="minorEastAsia"/>
          <w:lang w:val="en-US" w:eastAsia="zh-CN"/>
        </w:rPr>
      </w:pPr>
      <w:r w:rsidRPr="00D24425">
        <w:rPr>
          <w:rFonts w:eastAsiaTheme="minorEastAsia"/>
          <w:b/>
          <w:bCs/>
          <w:lang w:val="en-US" w:eastAsia="zh-CN"/>
        </w:rPr>
        <w:t>Observation</w:t>
      </w:r>
      <w:r w:rsidR="009E1060">
        <w:rPr>
          <w:rFonts w:eastAsiaTheme="minorEastAsia"/>
          <w:b/>
          <w:bCs/>
          <w:lang w:val="en-US" w:eastAsia="zh-CN"/>
        </w:rPr>
        <w:t xml:space="preserve"> 1</w:t>
      </w:r>
      <w:r>
        <w:rPr>
          <w:rFonts w:eastAsiaTheme="minorEastAsia"/>
          <w:lang w:val="en-US" w:eastAsia="zh-CN"/>
        </w:rPr>
        <w:t xml:space="preserve">: </w:t>
      </w:r>
      <w:r w:rsidRPr="004E0A1A">
        <w:rPr>
          <w:rFonts w:eastAsiaTheme="minorEastAsia"/>
          <w:lang w:val="en-US" w:eastAsia="zh-CN"/>
        </w:rPr>
        <w:t>During handover preparation, source NG-RAN node sends to the target NG-RAN node</w:t>
      </w:r>
      <w:r>
        <w:rPr>
          <w:rFonts w:eastAsiaTheme="minorEastAsia"/>
          <w:lang w:val="en-US" w:eastAsia="zh-CN"/>
        </w:rPr>
        <w:t xml:space="preserve"> the </w:t>
      </w:r>
      <w:r w:rsidRPr="004E0A1A">
        <w:rPr>
          <w:rFonts w:eastAsiaTheme="minorEastAsia"/>
          <w:lang w:val="en-US" w:eastAsia="zh-CN"/>
        </w:rPr>
        <w:t>available RVQoE metrics (received as part of QMC configuration)</w:t>
      </w:r>
      <w:r>
        <w:rPr>
          <w:rFonts w:eastAsiaTheme="minorEastAsia"/>
          <w:lang w:val="en-US" w:eastAsia="zh-CN"/>
        </w:rPr>
        <w:t xml:space="preserve"> </w:t>
      </w:r>
      <w:r w:rsidRPr="004E0A1A">
        <w:rPr>
          <w:rFonts w:eastAsiaTheme="minorEastAsia"/>
          <w:lang w:val="en-US" w:eastAsia="zh-CN"/>
        </w:rPr>
        <w:t>in XnAP/NGAP IE</w:t>
      </w:r>
      <w:r>
        <w:rPr>
          <w:rFonts w:eastAsiaTheme="minorEastAsia"/>
          <w:lang w:val="en-US" w:eastAsia="zh-CN"/>
        </w:rPr>
        <w:t>s</w:t>
      </w:r>
    </w:p>
    <w:p w14:paraId="5CAFF91D" w14:textId="77777777" w:rsidR="00AD2887" w:rsidRPr="00917A4F" w:rsidRDefault="00AD2887" w:rsidP="004E0A1A">
      <w:pPr>
        <w:contextualSpacing/>
        <w:rPr>
          <w:rFonts w:eastAsiaTheme="minorEastAsia"/>
          <w:lang w:val="en-US" w:eastAsia="zh-CN"/>
        </w:rPr>
      </w:pPr>
    </w:p>
    <w:p w14:paraId="0381EB30" w14:textId="7D3A1D35" w:rsidR="004E0A1A" w:rsidRPr="004E0A1A" w:rsidRDefault="004E0A1A" w:rsidP="004E0A1A">
      <w:pPr>
        <w:contextualSpacing/>
        <w:rPr>
          <w:rFonts w:eastAsiaTheme="minorEastAsia"/>
          <w:lang w:val="en-US" w:eastAsia="zh-CN"/>
        </w:rPr>
      </w:pPr>
      <w:r w:rsidRPr="004E0A1A">
        <w:rPr>
          <w:rFonts w:eastAsiaTheme="minorEastAsia"/>
          <w:b/>
          <w:bCs/>
          <w:lang w:val="en-US" w:eastAsia="zh-CN"/>
        </w:rPr>
        <w:t xml:space="preserve">Proposal </w:t>
      </w:r>
      <w:r w:rsidR="008F64B1">
        <w:rPr>
          <w:rFonts w:eastAsiaTheme="minorEastAsia"/>
          <w:b/>
          <w:bCs/>
          <w:lang w:val="en-US" w:eastAsia="zh-CN"/>
        </w:rPr>
        <w:t>5</w:t>
      </w:r>
      <w:r w:rsidRPr="004E0A1A">
        <w:rPr>
          <w:rFonts w:eastAsiaTheme="minorEastAsia"/>
          <w:b/>
          <w:bCs/>
          <w:lang w:val="en-US" w:eastAsia="zh-CN"/>
        </w:rPr>
        <w:t>:</w:t>
      </w:r>
      <w:r w:rsidRPr="004E0A1A">
        <w:rPr>
          <w:rFonts w:eastAsiaTheme="minorEastAsia"/>
          <w:lang w:val="en-US" w:eastAsia="zh-CN"/>
        </w:rPr>
        <w:t xml:space="preserve"> Convert the WA into agreement</w:t>
      </w:r>
    </w:p>
    <w:p w14:paraId="7B489033" w14:textId="7D7F714F" w:rsidR="004E0A1A" w:rsidRPr="004E0A1A" w:rsidRDefault="004E0A1A" w:rsidP="00D24425">
      <w:pPr>
        <w:ind w:left="360"/>
        <w:contextualSpacing/>
        <w:rPr>
          <w:rFonts w:eastAsiaTheme="minorEastAsia"/>
          <w:lang w:val="en-US" w:eastAsia="zh-CN"/>
        </w:rPr>
      </w:pPr>
      <w:r w:rsidRPr="004E0A1A">
        <w:rPr>
          <w:rFonts w:eastAsiaTheme="minorEastAsia"/>
          <w:lang w:val="en-US" w:eastAsia="zh-CN"/>
        </w:rPr>
        <w:t>During handover preparation, source NG-RAN node sends to the target NG-RAN node</w:t>
      </w:r>
      <w:r w:rsidR="00D24425">
        <w:rPr>
          <w:rFonts w:eastAsiaTheme="minorEastAsia"/>
          <w:lang w:val="en-US" w:eastAsia="zh-CN"/>
        </w:rPr>
        <w:t xml:space="preserve"> the </w:t>
      </w:r>
      <w:r w:rsidR="00D24425" w:rsidRPr="004E0A1A">
        <w:rPr>
          <w:rFonts w:eastAsiaTheme="minorEastAsia"/>
          <w:lang w:val="en-US" w:eastAsia="zh-CN"/>
        </w:rPr>
        <w:t>RVQoE metrics configured at the UE</w:t>
      </w:r>
      <w:r w:rsidR="00D24425">
        <w:rPr>
          <w:rFonts w:eastAsiaTheme="minorEastAsia"/>
          <w:lang w:val="en-US" w:eastAsia="zh-CN"/>
        </w:rPr>
        <w:t xml:space="preserve"> </w:t>
      </w:r>
      <w:r w:rsidRPr="004E0A1A">
        <w:rPr>
          <w:rFonts w:eastAsiaTheme="minorEastAsia"/>
          <w:lang w:val="en-US" w:eastAsia="zh-CN"/>
        </w:rPr>
        <w:t>in RRC container</w:t>
      </w:r>
    </w:p>
    <w:p w14:paraId="09E5D9A5" w14:textId="0668BBB5" w:rsidR="00917A4F" w:rsidRPr="00917A4F" w:rsidRDefault="00917A4F" w:rsidP="00917A4F">
      <w:pPr>
        <w:pStyle w:val="Heading2"/>
        <w:numPr>
          <w:ilvl w:val="1"/>
          <w:numId w:val="2"/>
        </w:numPr>
        <w:tabs>
          <w:tab w:val="left" w:pos="720"/>
        </w:tabs>
        <w:contextualSpacing/>
        <w:rPr>
          <w:rFonts w:ascii="Times New Roman" w:hAnsi="Times New Roman"/>
        </w:rPr>
      </w:pPr>
      <w:r w:rsidRPr="00917A4F">
        <w:rPr>
          <w:rFonts w:ascii="Times New Roman" w:hAnsi="Times New Roman"/>
        </w:rPr>
        <w:t>User consent for QoE</w:t>
      </w:r>
    </w:p>
    <w:p w14:paraId="74AD7DE3" w14:textId="688FC303" w:rsidR="004E0A1A" w:rsidRPr="00917A4F" w:rsidRDefault="004E0A1A" w:rsidP="00917A4F">
      <w:pPr>
        <w:rPr>
          <w:rFonts w:eastAsiaTheme="minorEastAsia"/>
          <w:lang w:val="en-US" w:eastAsia="zh-CN"/>
        </w:rPr>
      </w:pPr>
      <w:r w:rsidRPr="003770F8">
        <w:rPr>
          <w:rFonts w:eastAsiaTheme="minorEastAsia"/>
          <w:b/>
          <w:bCs/>
          <w:lang w:val="en-US" w:eastAsia="zh-CN"/>
        </w:rPr>
        <w:t xml:space="preserve">Proposal </w:t>
      </w:r>
      <w:r w:rsidR="008F64B1">
        <w:rPr>
          <w:rFonts w:eastAsiaTheme="minorEastAsia"/>
          <w:b/>
          <w:bCs/>
          <w:lang w:val="en-US" w:eastAsia="zh-CN"/>
        </w:rPr>
        <w:t>6</w:t>
      </w:r>
      <w:r w:rsidRPr="003770F8">
        <w:rPr>
          <w:rFonts w:eastAsiaTheme="minorEastAsia"/>
          <w:b/>
          <w:bCs/>
          <w:lang w:val="en-US" w:eastAsia="zh-CN"/>
        </w:rPr>
        <w:t>:</w:t>
      </w:r>
      <w:r w:rsidRPr="00917A4F">
        <w:rPr>
          <w:rFonts w:eastAsiaTheme="minorEastAsia"/>
          <w:lang w:val="en-US" w:eastAsia="zh-CN"/>
        </w:rPr>
        <w:t xml:space="preserve"> There is no need to introduce any user consent for legacy QoE or RAN visible QoE</w:t>
      </w:r>
    </w:p>
    <w:p w14:paraId="76ADF0CD" w14:textId="54D1EC94" w:rsidR="00D81C03" w:rsidRDefault="00D81C03" w:rsidP="00D81C03">
      <w:pPr>
        <w:pStyle w:val="Heading1"/>
        <w:numPr>
          <w:ilvl w:val="0"/>
          <w:numId w:val="2"/>
        </w:numPr>
        <w:rPr>
          <w:rFonts w:ascii="Times New Roman" w:hAnsi="Times New Roman"/>
        </w:rPr>
      </w:pPr>
      <w:r w:rsidRPr="001062CC">
        <w:rPr>
          <w:rFonts w:ascii="Times New Roman" w:hAnsi="Times New Roman"/>
        </w:rPr>
        <w:t>Conclusion</w:t>
      </w:r>
    </w:p>
    <w:p w14:paraId="47663B77" w14:textId="1C5F3C77" w:rsidR="009E1060" w:rsidRDefault="009E1060" w:rsidP="009E1060">
      <w:pPr>
        <w:contextualSpacing/>
        <w:rPr>
          <w:rFonts w:eastAsiaTheme="minorEastAsia"/>
          <w:lang w:val="en-US" w:eastAsia="zh-CN"/>
        </w:rPr>
      </w:pPr>
      <w:r w:rsidRPr="004E0A1A">
        <w:rPr>
          <w:rFonts w:eastAsiaTheme="minorEastAsia"/>
          <w:b/>
          <w:bCs/>
          <w:lang w:val="en-US" w:eastAsia="zh-CN"/>
        </w:rPr>
        <w:t>Proposal 1</w:t>
      </w:r>
      <w:r w:rsidRPr="004E0A1A">
        <w:rPr>
          <w:rFonts w:eastAsiaTheme="minorEastAsia"/>
          <w:lang w:val="en-US" w:eastAsia="zh-CN"/>
        </w:rPr>
        <w:t>: There is no need to support additional reporting periodicities for RVQoE than what was agreed in R3#114bis-e</w:t>
      </w:r>
    </w:p>
    <w:p w14:paraId="0C9F706F" w14:textId="77777777" w:rsidR="009E1060" w:rsidRPr="00917A4F" w:rsidRDefault="009E1060" w:rsidP="009E1060">
      <w:pPr>
        <w:contextualSpacing/>
        <w:rPr>
          <w:rFonts w:eastAsiaTheme="minorEastAsia"/>
          <w:lang w:val="en-US" w:eastAsia="zh-CN"/>
        </w:rPr>
      </w:pPr>
    </w:p>
    <w:p w14:paraId="38040CB0" w14:textId="77777777" w:rsidR="009E1060" w:rsidRDefault="009E1060" w:rsidP="009E1060">
      <w:pPr>
        <w:contextualSpacing/>
        <w:rPr>
          <w:rFonts w:eastAsiaTheme="minorEastAsia"/>
          <w:lang w:val="en-US" w:eastAsia="zh-CN"/>
        </w:rPr>
      </w:pPr>
      <w:r w:rsidRPr="004E0A1A">
        <w:rPr>
          <w:rFonts w:eastAsiaTheme="minorEastAsia"/>
          <w:b/>
          <w:bCs/>
          <w:lang w:val="en-US" w:eastAsia="zh-CN"/>
        </w:rPr>
        <w:t>Proposal 2:</w:t>
      </w:r>
      <w:r w:rsidRPr="004E0A1A">
        <w:rPr>
          <w:rFonts w:eastAsiaTheme="minorEastAsia"/>
          <w:lang w:val="en-US" w:eastAsia="zh-CN"/>
        </w:rPr>
        <w:t xml:space="preserve"> RVQoE reporting should also be paused upon RAN overload. </w:t>
      </w:r>
    </w:p>
    <w:p w14:paraId="7E47BB87" w14:textId="77777777" w:rsidR="009E1060" w:rsidRDefault="009E1060" w:rsidP="009E1060">
      <w:pPr>
        <w:contextualSpacing/>
        <w:rPr>
          <w:rFonts w:eastAsiaTheme="minorEastAsia"/>
          <w:b/>
          <w:bCs/>
          <w:lang w:val="en-US" w:eastAsia="zh-CN"/>
        </w:rPr>
      </w:pPr>
    </w:p>
    <w:p w14:paraId="0E678838" w14:textId="5BA90593" w:rsidR="009E1060" w:rsidRPr="004E0A1A" w:rsidRDefault="009E1060" w:rsidP="009E1060">
      <w:pPr>
        <w:contextualSpacing/>
        <w:rPr>
          <w:rFonts w:eastAsiaTheme="minorEastAsia"/>
          <w:lang w:val="en-US" w:eastAsia="zh-CN"/>
        </w:rPr>
      </w:pPr>
      <w:r w:rsidRPr="00223F25">
        <w:rPr>
          <w:rFonts w:eastAsiaTheme="minorEastAsia"/>
          <w:b/>
          <w:bCs/>
          <w:lang w:val="en-US" w:eastAsia="zh-CN"/>
        </w:rPr>
        <w:t>Proposal</w:t>
      </w:r>
      <w:r>
        <w:rPr>
          <w:rFonts w:eastAsiaTheme="minorEastAsia"/>
          <w:b/>
          <w:bCs/>
          <w:lang w:val="en-US" w:eastAsia="zh-CN"/>
        </w:rPr>
        <w:t xml:space="preserve"> 3</w:t>
      </w:r>
      <w:r>
        <w:rPr>
          <w:rFonts w:eastAsiaTheme="minorEastAsia"/>
          <w:lang w:val="en-US" w:eastAsia="zh-CN"/>
        </w:rPr>
        <w:t xml:space="preserve">: </w:t>
      </w:r>
      <w:r w:rsidRPr="004E0A1A">
        <w:rPr>
          <w:rFonts w:eastAsiaTheme="minorEastAsia"/>
          <w:lang w:val="en-US" w:eastAsia="zh-CN"/>
        </w:rPr>
        <w:t xml:space="preserve">If </w:t>
      </w:r>
      <w:r>
        <w:rPr>
          <w:rFonts w:eastAsiaTheme="minorEastAsia"/>
          <w:lang w:val="en-US" w:eastAsia="zh-CN"/>
        </w:rPr>
        <w:t xml:space="preserve">the </w:t>
      </w:r>
      <w:r w:rsidRPr="004E0A1A">
        <w:rPr>
          <w:rFonts w:eastAsiaTheme="minorEastAsia"/>
          <w:lang w:val="en-US" w:eastAsia="zh-CN"/>
        </w:rPr>
        <w:t>legacy QoE reporting is paused</w:t>
      </w:r>
      <w:r>
        <w:rPr>
          <w:rFonts w:eastAsiaTheme="minorEastAsia"/>
          <w:lang w:val="en-US" w:eastAsia="zh-CN"/>
        </w:rPr>
        <w:t>/resumed</w:t>
      </w:r>
      <w:r w:rsidRPr="004E0A1A">
        <w:rPr>
          <w:rFonts w:eastAsiaTheme="minorEastAsia"/>
          <w:lang w:val="en-US" w:eastAsia="zh-CN"/>
        </w:rPr>
        <w:t>, RVQoE reporting should be paused</w:t>
      </w:r>
      <w:r>
        <w:rPr>
          <w:rFonts w:eastAsiaTheme="minorEastAsia"/>
          <w:lang w:val="en-US" w:eastAsia="zh-CN"/>
        </w:rPr>
        <w:t>/resumed</w:t>
      </w:r>
      <w:r w:rsidRPr="004E0A1A">
        <w:rPr>
          <w:rFonts w:eastAsiaTheme="minorEastAsia"/>
          <w:lang w:val="en-US" w:eastAsia="zh-CN"/>
        </w:rPr>
        <w:t xml:space="preserve"> as well</w:t>
      </w:r>
    </w:p>
    <w:p w14:paraId="07149026" w14:textId="77777777" w:rsidR="009E1060" w:rsidRDefault="009E1060" w:rsidP="009E1060">
      <w:pPr>
        <w:contextualSpacing/>
        <w:rPr>
          <w:rFonts w:eastAsiaTheme="minorEastAsia"/>
          <w:b/>
          <w:bCs/>
          <w:lang w:val="en-US" w:eastAsia="zh-CN"/>
        </w:rPr>
      </w:pPr>
    </w:p>
    <w:p w14:paraId="34E17C60" w14:textId="20F23629" w:rsidR="009E1060" w:rsidRPr="00917A4F" w:rsidRDefault="009E1060" w:rsidP="009E1060">
      <w:pPr>
        <w:contextualSpacing/>
        <w:rPr>
          <w:rFonts w:eastAsiaTheme="minorEastAsia"/>
          <w:lang w:val="en-US" w:eastAsia="zh-CN"/>
        </w:rPr>
      </w:pPr>
      <w:r w:rsidRPr="004E0A1A">
        <w:rPr>
          <w:rFonts w:eastAsiaTheme="minorEastAsia"/>
          <w:b/>
          <w:bCs/>
          <w:lang w:val="en-US" w:eastAsia="zh-CN"/>
        </w:rPr>
        <w:t xml:space="preserve">Proposal </w:t>
      </w:r>
      <w:r>
        <w:rPr>
          <w:rFonts w:eastAsiaTheme="minorEastAsia"/>
          <w:b/>
          <w:bCs/>
          <w:lang w:val="en-US" w:eastAsia="zh-CN"/>
        </w:rPr>
        <w:t>4</w:t>
      </w:r>
      <w:r w:rsidRPr="004E0A1A">
        <w:rPr>
          <w:rFonts w:eastAsiaTheme="minorEastAsia"/>
          <w:b/>
          <w:bCs/>
          <w:lang w:val="en-US" w:eastAsia="zh-CN"/>
        </w:rPr>
        <w:t>:</w:t>
      </w:r>
      <w:r w:rsidRPr="004E0A1A">
        <w:rPr>
          <w:rFonts w:eastAsiaTheme="minorEastAsia"/>
          <w:lang w:val="en-US" w:eastAsia="zh-CN"/>
        </w:rPr>
        <w:t xml:space="preserve"> Including PDU session ID in RVQoE report is sufficient. There is no need to include S-NSSAI in RVQoE report</w:t>
      </w:r>
    </w:p>
    <w:p w14:paraId="5AC8EADA" w14:textId="77777777" w:rsidR="009E1060" w:rsidRDefault="009E1060" w:rsidP="009E1060">
      <w:pPr>
        <w:contextualSpacing/>
        <w:rPr>
          <w:rFonts w:eastAsiaTheme="minorEastAsia"/>
          <w:b/>
          <w:bCs/>
          <w:lang w:val="en-US" w:eastAsia="zh-CN"/>
        </w:rPr>
      </w:pPr>
    </w:p>
    <w:p w14:paraId="496D32E9" w14:textId="3AEABFB2" w:rsidR="009E1060" w:rsidRPr="004E0A1A" w:rsidRDefault="009E1060" w:rsidP="009E1060">
      <w:pPr>
        <w:contextualSpacing/>
        <w:rPr>
          <w:rFonts w:eastAsiaTheme="minorEastAsia"/>
          <w:lang w:val="en-US" w:eastAsia="zh-CN"/>
        </w:rPr>
      </w:pPr>
      <w:r w:rsidRPr="00D24425">
        <w:rPr>
          <w:rFonts w:eastAsiaTheme="minorEastAsia"/>
          <w:b/>
          <w:bCs/>
          <w:lang w:val="en-US" w:eastAsia="zh-CN"/>
        </w:rPr>
        <w:t>Observation</w:t>
      </w:r>
      <w:r>
        <w:rPr>
          <w:rFonts w:eastAsiaTheme="minorEastAsia"/>
          <w:b/>
          <w:bCs/>
          <w:lang w:val="en-US" w:eastAsia="zh-CN"/>
        </w:rPr>
        <w:t xml:space="preserve"> 1</w:t>
      </w:r>
      <w:r>
        <w:rPr>
          <w:rFonts w:eastAsiaTheme="minorEastAsia"/>
          <w:lang w:val="en-US" w:eastAsia="zh-CN"/>
        </w:rPr>
        <w:t xml:space="preserve">: </w:t>
      </w:r>
      <w:r w:rsidRPr="004E0A1A">
        <w:rPr>
          <w:rFonts w:eastAsiaTheme="minorEastAsia"/>
          <w:lang w:val="en-US" w:eastAsia="zh-CN"/>
        </w:rPr>
        <w:t>During handover preparation, source NG-RAN node sends to the target NG-RAN node</w:t>
      </w:r>
      <w:r>
        <w:rPr>
          <w:rFonts w:eastAsiaTheme="minorEastAsia"/>
          <w:lang w:val="en-US" w:eastAsia="zh-CN"/>
        </w:rPr>
        <w:t xml:space="preserve"> the </w:t>
      </w:r>
      <w:r w:rsidRPr="004E0A1A">
        <w:rPr>
          <w:rFonts w:eastAsiaTheme="minorEastAsia"/>
          <w:lang w:val="en-US" w:eastAsia="zh-CN"/>
        </w:rPr>
        <w:t>available RVQoE metrics (received as part of QMC configuration)</w:t>
      </w:r>
      <w:r>
        <w:rPr>
          <w:rFonts w:eastAsiaTheme="minorEastAsia"/>
          <w:lang w:val="en-US" w:eastAsia="zh-CN"/>
        </w:rPr>
        <w:t xml:space="preserve"> </w:t>
      </w:r>
      <w:r w:rsidRPr="004E0A1A">
        <w:rPr>
          <w:rFonts w:eastAsiaTheme="minorEastAsia"/>
          <w:lang w:val="en-US" w:eastAsia="zh-CN"/>
        </w:rPr>
        <w:t>in XnAP/NGAP IE</w:t>
      </w:r>
      <w:r>
        <w:rPr>
          <w:rFonts w:eastAsiaTheme="minorEastAsia"/>
          <w:lang w:val="en-US" w:eastAsia="zh-CN"/>
        </w:rPr>
        <w:t>s</w:t>
      </w:r>
    </w:p>
    <w:p w14:paraId="6F2A9230" w14:textId="77777777" w:rsidR="009E1060" w:rsidRDefault="009E1060" w:rsidP="009E1060">
      <w:pPr>
        <w:contextualSpacing/>
        <w:rPr>
          <w:rFonts w:eastAsiaTheme="minorEastAsia"/>
          <w:b/>
          <w:bCs/>
          <w:lang w:val="en-US" w:eastAsia="zh-CN"/>
        </w:rPr>
      </w:pPr>
    </w:p>
    <w:p w14:paraId="7D46EBC8" w14:textId="68E68935" w:rsidR="009E1060" w:rsidRPr="004E0A1A" w:rsidRDefault="009E1060" w:rsidP="009E1060">
      <w:pPr>
        <w:contextualSpacing/>
        <w:rPr>
          <w:rFonts w:eastAsiaTheme="minorEastAsia"/>
          <w:lang w:val="en-US" w:eastAsia="zh-CN"/>
        </w:rPr>
      </w:pPr>
      <w:r w:rsidRPr="004E0A1A">
        <w:rPr>
          <w:rFonts w:eastAsiaTheme="minorEastAsia"/>
          <w:b/>
          <w:bCs/>
          <w:lang w:val="en-US" w:eastAsia="zh-CN"/>
        </w:rPr>
        <w:t xml:space="preserve">Proposal </w:t>
      </w:r>
      <w:r>
        <w:rPr>
          <w:rFonts w:eastAsiaTheme="minorEastAsia"/>
          <w:b/>
          <w:bCs/>
          <w:lang w:val="en-US" w:eastAsia="zh-CN"/>
        </w:rPr>
        <w:t>5</w:t>
      </w:r>
      <w:r w:rsidRPr="004E0A1A">
        <w:rPr>
          <w:rFonts w:eastAsiaTheme="minorEastAsia"/>
          <w:b/>
          <w:bCs/>
          <w:lang w:val="en-US" w:eastAsia="zh-CN"/>
        </w:rPr>
        <w:t>:</w:t>
      </w:r>
      <w:r w:rsidRPr="004E0A1A">
        <w:rPr>
          <w:rFonts w:eastAsiaTheme="minorEastAsia"/>
          <w:lang w:val="en-US" w:eastAsia="zh-CN"/>
        </w:rPr>
        <w:t xml:space="preserve"> Convert the WA into agreement</w:t>
      </w:r>
    </w:p>
    <w:p w14:paraId="24D06160" w14:textId="77777777" w:rsidR="009E1060" w:rsidRPr="004E0A1A" w:rsidRDefault="009E1060" w:rsidP="009E1060">
      <w:pPr>
        <w:ind w:left="360"/>
        <w:contextualSpacing/>
        <w:rPr>
          <w:rFonts w:eastAsiaTheme="minorEastAsia"/>
          <w:lang w:val="en-US" w:eastAsia="zh-CN"/>
        </w:rPr>
      </w:pPr>
      <w:r w:rsidRPr="004E0A1A">
        <w:rPr>
          <w:rFonts w:eastAsiaTheme="minorEastAsia"/>
          <w:lang w:val="en-US" w:eastAsia="zh-CN"/>
        </w:rPr>
        <w:t>During handover preparation, source NG-RAN node sends to the target NG-RAN node</w:t>
      </w:r>
      <w:r>
        <w:rPr>
          <w:rFonts w:eastAsiaTheme="minorEastAsia"/>
          <w:lang w:val="en-US" w:eastAsia="zh-CN"/>
        </w:rPr>
        <w:t xml:space="preserve"> the </w:t>
      </w:r>
      <w:r w:rsidRPr="004E0A1A">
        <w:rPr>
          <w:rFonts w:eastAsiaTheme="minorEastAsia"/>
          <w:lang w:val="en-US" w:eastAsia="zh-CN"/>
        </w:rPr>
        <w:t>RVQoE metrics configured at the UE</w:t>
      </w:r>
      <w:r>
        <w:rPr>
          <w:rFonts w:eastAsiaTheme="minorEastAsia"/>
          <w:lang w:val="en-US" w:eastAsia="zh-CN"/>
        </w:rPr>
        <w:t xml:space="preserve"> </w:t>
      </w:r>
      <w:r w:rsidRPr="004E0A1A">
        <w:rPr>
          <w:rFonts w:eastAsiaTheme="minorEastAsia"/>
          <w:lang w:val="en-US" w:eastAsia="zh-CN"/>
        </w:rPr>
        <w:t>in RRC container</w:t>
      </w:r>
    </w:p>
    <w:p w14:paraId="143CFCCF" w14:textId="77777777" w:rsidR="009E1060" w:rsidRDefault="009E1060" w:rsidP="009E1060">
      <w:pPr>
        <w:rPr>
          <w:rFonts w:eastAsiaTheme="minorEastAsia"/>
          <w:b/>
          <w:bCs/>
          <w:lang w:val="en-US" w:eastAsia="zh-CN"/>
        </w:rPr>
      </w:pPr>
    </w:p>
    <w:p w14:paraId="69347451" w14:textId="4F3736C5" w:rsidR="009E1060" w:rsidRPr="00917A4F" w:rsidRDefault="009E1060" w:rsidP="009E1060">
      <w:pPr>
        <w:rPr>
          <w:rFonts w:eastAsiaTheme="minorEastAsia"/>
          <w:lang w:val="en-US" w:eastAsia="zh-CN"/>
        </w:rPr>
      </w:pPr>
      <w:r w:rsidRPr="003770F8">
        <w:rPr>
          <w:rFonts w:eastAsiaTheme="minorEastAsia"/>
          <w:b/>
          <w:bCs/>
          <w:lang w:val="en-US" w:eastAsia="zh-CN"/>
        </w:rPr>
        <w:t xml:space="preserve">Proposal </w:t>
      </w:r>
      <w:r>
        <w:rPr>
          <w:rFonts w:eastAsiaTheme="minorEastAsia"/>
          <w:b/>
          <w:bCs/>
          <w:lang w:val="en-US" w:eastAsia="zh-CN"/>
        </w:rPr>
        <w:t>6</w:t>
      </w:r>
      <w:r w:rsidRPr="003770F8">
        <w:rPr>
          <w:rFonts w:eastAsiaTheme="minorEastAsia"/>
          <w:b/>
          <w:bCs/>
          <w:lang w:val="en-US" w:eastAsia="zh-CN"/>
        </w:rPr>
        <w:t>:</w:t>
      </w:r>
      <w:r w:rsidRPr="00917A4F">
        <w:rPr>
          <w:rFonts w:eastAsiaTheme="minorEastAsia"/>
          <w:lang w:val="en-US" w:eastAsia="zh-CN"/>
        </w:rPr>
        <w:t xml:space="preserve"> There is no need to introduce any user consent for legacy QoE or RAN visible QoE</w:t>
      </w:r>
    </w:p>
    <w:p w14:paraId="50AF501C" w14:textId="77777777" w:rsidR="00D81C03" w:rsidRPr="001062CC" w:rsidRDefault="00D81C03" w:rsidP="00D81C03">
      <w:pPr>
        <w:pStyle w:val="Heading1"/>
        <w:pBdr>
          <w:top w:val="single" w:sz="12" w:space="2" w:color="auto"/>
        </w:pBdr>
        <w:ind w:left="0" w:firstLine="0"/>
        <w:rPr>
          <w:rFonts w:ascii="Times New Roman" w:hAnsi="Times New Roman"/>
        </w:rPr>
      </w:pPr>
      <w:r w:rsidRPr="001062CC">
        <w:rPr>
          <w:rFonts w:ascii="Times New Roman" w:hAnsi="Times New Roman"/>
        </w:rPr>
        <w:t>4. References</w:t>
      </w:r>
    </w:p>
    <w:p w14:paraId="13621127" w14:textId="5716C7BD" w:rsidR="000E57E3" w:rsidRDefault="000E57E3" w:rsidP="00385912"/>
    <w:sectPr w:rsidR="000E57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39DCD" w14:textId="77777777" w:rsidR="009E716C" w:rsidRDefault="009E716C" w:rsidP="00390267">
      <w:pPr>
        <w:spacing w:after="0"/>
      </w:pPr>
      <w:r>
        <w:separator/>
      </w:r>
    </w:p>
  </w:endnote>
  <w:endnote w:type="continuationSeparator" w:id="0">
    <w:p w14:paraId="6C1453D5" w14:textId="77777777" w:rsidR="009E716C" w:rsidRDefault="009E716C" w:rsidP="003902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2C586" w14:textId="77777777" w:rsidR="009E716C" w:rsidRDefault="009E716C" w:rsidP="00390267">
      <w:pPr>
        <w:spacing w:after="0"/>
      </w:pPr>
      <w:r>
        <w:separator/>
      </w:r>
    </w:p>
  </w:footnote>
  <w:footnote w:type="continuationSeparator" w:id="0">
    <w:p w14:paraId="1BF236CB" w14:textId="77777777" w:rsidR="009E716C" w:rsidRDefault="009E716C" w:rsidP="003902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D65"/>
    <w:multiLevelType w:val="hybridMultilevel"/>
    <w:tmpl w:val="BA5CDB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A95578"/>
    <w:multiLevelType w:val="multilevel"/>
    <w:tmpl w:val="01A955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8027FF"/>
    <w:multiLevelType w:val="hybridMultilevel"/>
    <w:tmpl w:val="15A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CA46DF"/>
    <w:multiLevelType w:val="hybridMultilevel"/>
    <w:tmpl w:val="53E25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05F91"/>
    <w:multiLevelType w:val="multilevel"/>
    <w:tmpl w:val="007ACA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830BAD"/>
    <w:multiLevelType w:val="hybridMultilevel"/>
    <w:tmpl w:val="FF2CED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D0E61"/>
    <w:multiLevelType w:val="multilevel"/>
    <w:tmpl w:val="B79E9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326A54"/>
    <w:multiLevelType w:val="multilevel"/>
    <w:tmpl w:val="BE3EDCE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23B87C1B"/>
    <w:multiLevelType w:val="hybridMultilevel"/>
    <w:tmpl w:val="ED3E1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F2241D"/>
    <w:multiLevelType w:val="multilevel"/>
    <w:tmpl w:val="8116BB92"/>
    <w:lvl w:ilvl="0">
      <w:start w:val="1"/>
      <w:numFmt w:val="decimal"/>
      <w:lvlText w:val="%1"/>
      <w:lvlJc w:val="left"/>
      <w:pPr>
        <w:tabs>
          <w:tab w:val="num" w:pos="432"/>
        </w:tabs>
        <w:ind w:left="432" w:hanging="432"/>
      </w:p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77E534C"/>
    <w:multiLevelType w:val="hybridMultilevel"/>
    <w:tmpl w:val="A22A994A"/>
    <w:lvl w:ilvl="0" w:tplc="4FBE9634">
      <w:start w:val="1"/>
      <w:numFmt w:val="bullet"/>
      <w:lvlText w:val="–"/>
      <w:lvlJc w:val="left"/>
      <w:pPr>
        <w:tabs>
          <w:tab w:val="num" w:pos="360"/>
        </w:tabs>
        <w:ind w:left="360" w:hanging="360"/>
      </w:pPr>
      <w:rPr>
        <w:rFonts w:ascii="Times New Roman" w:hAnsi="Times New Roman" w:hint="default"/>
      </w:rPr>
    </w:lvl>
    <w:lvl w:ilvl="1" w:tplc="D0283BB6">
      <w:start w:val="1"/>
      <w:numFmt w:val="bullet"/>
      <w:lvlText w:val="–"/>
      <w:lvlJc w:val="left"/>
      <w:pPr>
        <w:tabs>
          <w:tab w:val="num" w:pos="1080"/>
        </w:tabs>
        <w:ind w:left="1080" w:hanging="360"/>
      </w:pPr>
      <w:rPr>
        <w:rFonts w:ascii="Times New Roman" w:hAnsi="Times New Roman" w:hint="default"/>
      </w:rPr>
    </w:lvl>
    <w:lvl w:ilvl="2" w:tplc="0D44312A">
      <w:numFmt w:val="bullet"/>
      <w:lvlText w:val="•"/>
      <w:lvlJc w:val="left"/>
      <w:pPr>
        <w:tabs>
          <w:tab w:val="num" w:pos="1800"/>
        </w:tabs>
        <w:ind w:left="1800" w:hanging="360"/>
      </w:pPr>
      <w:rPr>
        <w:rFonts w:ascii="Times New Roman" w:hAnsi="Times New Roman" w:hint="default"/>
      </w:rPr>
    </w:lvl>
    <w:lvl w:ilvl="3" w:tplc="97FAFE74" w:tentative="1">
      <w:start w:val="1"/>
      <w:numFmt w:val="bullet"/>
      <w:lvlText w:val="–"/>
      <w:lvlJc w:val="left"/>
      <w:pPr>
        <w:tabs>
          <w:tab w:val="num" w:pos="2520"/>
        </w:tabs>
        <w:ind w:left="2520" w:hanging="360"/>
      </w:pPr>
      <w:rPr>
        <w:rFonts w:ascii="Times New Roman" w:hAnsi="Times New Roman" w:hint="default"/>
      </w:rPr>
    </w:lvl>
    <w:lvl w:ilvl="4" w:tplc="3F7AB7B0" w:tentative="1">
      <w:start w:val="1"/>
      <w:numFmt w:val="bullet"/>
      <w:lvlText w:val="–"/>
      <w:lvlJc w:val="left"/>
      <w:pPr>
        <w:tabs>
          <w:tab w:val="num" w:pos="3240"/>
        </w:tabs>
        <w:ind w:left="3240" w:hanging="360"/>
      </w:pPr>
      <w:rPr>
        <w:rFonts w:ascii="Times New Roman" w:hAnsi="Times New Roman" w:hint="default"/>
      </w:rPr>
    </w:lvl>
    <w:lvl w:ilvl="5" w:tplc="625C0092" w:tentative="1">
      <w:start w:val="1"/>
      <w:numFmt w:val="bullet"/>
      <w:lvlText w:val="–"/>
      <w:lvlJc w:val="left"/>
      <w:pPr>
        <w:tabs>
          <w:tab w:val="num" w:pos="3960"/>
        </w:tabs>
        <w:ind w:left="3960" w:hanging="360"/>
      </w:pPr>
      <w:rPr>
        <w:rFonts w:ascii="Times New Roman" w:hAnsi="Times New Roman" w:hint="default"/>
      </w:rPr>
    </w:lvl>
    <w:lvl w:ilvl="6" w:tplc="19CAB116" w:tentative="1">
      <w:start w:val="1"/>
      <w:numFmt w:val="bullet"/>
      <w:lvlText w:val="–"/>
      <w:lvlJc w:val="left"/>
      <w:pPr>
        <w:tabs>
          <w:tab w:val="num" w:pos="4680"/>
        </w:tabs>
        <w:ind w:left="4680" w:hanging="360"/>
      </w:pPr>
      <w:rPr>
        <w:rFonts w:ascii="Times New Roman" w:hAnsi="Times New Roman" w:hint="default"/>
      </w:rPr>
    </w:lvl>
    <w:lvl w:ilvl="7" w:tplc="26B42D08" w:tentative="1">
      <w:start w:val="1"/>
      <w:numFmt w:val="bullet"/>
      <w:lvlText w:val="–"/>
      <w:lvlJc w:val="left"/>
      <w:pPr>
        <w:tabs>
          <w:tab w:val="num" w:pos="5400"/>
        </w:tabs>
        <w:ind w:left="5400" w:hanging="360"/>
      </w:pPr>
      <w:rPr>
        <w:rFonts w:ascii="Times New Roman" w:hAnsi="Times New Roman" w:hint="default"/>
      </w:rPr>
    </w:lvl>
    <w:lvl w:ilvl="8" w:tplc="0E86AA6E" w:tentative="1">
      <w:start w:val="1"/>
      <w:numFmt w:val="bullet"/>
      <w:lvlText w:val="–"/>
      <w:lvlJc w:val="left"/>
      <w:pPr>
        <w:tabs>
          <w:tab w:val="num" w:pos="6120"/>
        </w:tabs>
        <w:ind w:left="6120" w:hanging="360"/>
      </w:pPr>
      <w:rPr>
        <w:rFonts w:ascii="Times New Roman" w:hAnsi="Times New Roman" w:hint="default"/>
      </w:rPr>
    </w:lvl>
  </w:abstractNum>
  <w:abstractNum w:abstractNumId="11" w15:restartNumberingAfterBreak="0">
    <w:nsid w:val="291A102D"/>
    <w:multiLevelType w:val="hybridMultilevel"/>
    <w:tmpl w:val="02C4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C65A5A"/>
    <w:multiLevelType w:val="hybridMultilevel"/>
    <w:tmpl w:val="F1607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713C6F"/>
    <w:multiLevelType w:val="hybridMultilevel"/>
    <w:tmpl w:val="3AB0C5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1908A5"/>
    <w:multiLevelType w:val="hybridMultilevel"/>
    <w:tmpl w:val="94482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641071"/>
    <w:multiLevelType w:val="hybridMultilevel"/>
    <w:tmpl w:val="FBA0A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E02CB"/>
    <w:multiLevelType w:val="hybridMultilevel"/>
    <w:tmpl w:val="949C9882"/>
    <w:lvl w:ilvl="0" w:tplc="41AA752C">
      <w:start w:val="1"/>
      <w:numFmt w:val="bullet"/>
      <w:lvlText w:val="–"/>
      <w:lvlJc w:val="left"/>
      <w:pPr>
        <w:tabs>
          <w:tab w:val="num" w:pos="720"/>
        </w:tabs>
        <w:ind w:left="720" w:hanging="360"/>
      </w:pPr>
      <w:rPr>
        <w:rFonts w:ascii="Times New Roman" w:hAnsi="Times New Roman" w:hint="default"/>
      </w:rPr>
    </w:lvl>
    <w:lvl w:ilvl="1" w:tplc="AF20D35C">
      <w:start w:val="1"/>
      <w:numFmt w:val="bullet"/>
      <w:lvlText w:val="–"/>
      <w:lvlJc w:val="left"/>
      <w:pPr>
        <w:tabs>
          <w:tab w:val="num" w:pos="1440"/>
        </w:tabs>
        <w:ind w:left="1440" w:hanging="360"/>
      </w:pPr>
      <w:rPr>
        <w:rFonts w:ascii="Times New Roman" w:hAnsi="Times New Roman" w:hint="default"/>
      </w:rPr>
    </w:lvl>
    <w:lvl w:ilvl="2" w:tplc="26840028">
      <w:numFmt w:val="bullet"/>
      <w:lvlText w:val="•"/>
      <w:lvlJc w:val="left"/>
      <w:pPr>
        <w:tabs>
          <w:tab w:val="num" w:pos="2160"/>
        </w:tabs>
        <w:ind w:left="2160" w:hanging="360"/>
      </w:pPr>
      <w:rPr>
        <w:rFonts w:ascii="Times New Roman" w:hAnsi="Times New Roman" w:hint="default"/>
      </w:rPr>
    </w:lvl>
    <w:lvl w:ilvl="3" w:tplc="4E4C0C4E" w:tentative="1">
      <w:start w:val="1"/>
      <w:numFmt w:val="bullet"/>
      <w:lvlText w:val="–"/>
      <w:lvlJc w:val="left"/>
      <w:pPr>
        <w:tabs>
          <w:tab w:val="num" w:pos="2880"/>
        </w:tabs>
        <w:ind w:left="2880" w:hanging="360"/>
      </w:pPr>
      <w:rPr>
        <w:rFonts w:ascii="Times New Roman" w:hAnsi="Times New Roman" w:hint="default"/>
      </w:rPr>
    </w:lvl>
    <w:lvl w:ilvl="4" w:tplc="7822382E" w:tentative="1">
      <w:start w:val="1"/>
      <w:numFmt w:val="bullet"/>
      <w:lvlText w:val="–"/>
      <w:lvlJc w:val="left"/>
      <w:pPr>
        <w:tabs>
          <w:tab w:val="num" w:pos="3600"/>
        </w:tabs>
        <w:ind w:left="3600" w:hanging="360"/>
      </w:pPr>
      <w:rPr>
        <w:rFonts w:ascii="Times New Roman" w:hAnsi="Times New Roman" w:hint="default"/>
      </w:rPr>
    </w:lvl>
    <w:lvl w:ilvl="5" w:tplc="A3688020" w:tentative="1">
      <w:start w:val="1"/>
      <w:numFmt w:val="bullet"/>
      <w:lvlText w:val="–"/>
      <w:lvlJc w:val="left"/>
      <w:pPr>
        <w:tabs>
          <w:tab w:val="num" w:pos="4320"/>
        </w:tabs>
        <w:ind w:left="4320" w:hanging="360"/>
      </w:pPr>
      <w:rPr>
        <w:rFonts w:ascii="Times New Roman" w:hAnsi="Times New Roman" w:hint="default"/>
      </w:rPr>
    </w:lvl>
    <w:lvl w:ilvl="6" w:tplc="F33A84C2" w:tentative="1">
      <w:start w:val="1"/>
      <w:numFmt w:val="bullet"/>
      <w:lvlText w:val="–"/>
      <w:lvlJc w:val="left"/>
      <w:pPr>
        <w:tabs>
          <w:tab w:val="num" w:pos="5040"/>
        </w:tabs>
        <w:ind w:left="5040" w:hanging="360"/>
      </w:pPr>
      <w:rPr>
        <w:rFonts w:ascii="Times New Roman" w:hAnsi="Times New Roman" w:hint="default"/>
      </w:rPr>
    </w:lvl>
    <w:lvl w:ilvl="7" w:tplc="653E6A90" w:tentative="1">
      <w:start w:val="1"/>
      <w:numFmt w:val="bullet"/>
      <w:lvlText w:val="–"/>
      <w:lvlJc w:val="left"/>
      <w:pPr>
        <w:tabs>
          <w:tab w:val="num" w:pos="5760"/>
        </w:tabs>
        <w:ind w:left="5760" w:hanging="360"/>
      </w:pPr>
      <w:rPr>
        <w:rFonts w:ascii="Times New Roman" w:hAnsi="Times New Roman" w:hint="default"/>
      </w:rPr>
    </w:lvl>
    <w:lvl w:ilvl="8" w:tplc="AE543AB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C704526"/>
    <w:multiLevelType w:val="hybridMultilevel"/>
    <w:tmpl w:val="E80CB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421DEB"/>
    <w:multiLevelType w:val="multilevel"/>
    <w:tmpl w:val="D2D8623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9" w15:restartNumberingAfterBreak="0">
    <w:nsid w:val="48E422B7"/>
    <w:multiLevelType w:val="multilevel"/>
    <w:tmpl w:val="48E422B7"/>
    <w:lvl w:ilvl="0">
      <w:numFmt w:val="bullet"/>
      <w:lvlText w:val="-"/>
      <w:lvlJc w:val="left"/>
      <w:pPr>
        <w:ind w:left="560" w:hanging="360"/>
      </w:pPr>
      <w:rPr>
        <w:rFonts w:ascii="Times New Roman" w:eastAsia="Malgun Gothic"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0" w15:restartNumberingAfterBreak="0">
    <w:nsid w:val="49440453"/>
    <w:multiLevelType w:val="hybridMultilevel"/>
    <w:tmpl w:val="449A16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030FD9"/>
    <w:multiLevelType w:val="hybridMultilevel"/>
    <w:tmpl w:val="7C5EC04A"/>
    <w:lvl w:ilvl="0" w:tplc="04090001">
      <w:start w:val="1"/>
      <w:numFmt w:val="bullet"/>
      <w:lvlText w:val=""/>
      <w:lvlJc w:val="left"/>
      <w:pPr>
        <w:ind w:left="720" w:hanging="360"/>
      </w:pPr>
      <w:rPr>
        <w:rFonts w:ascii="Symbol" w:hAnsi="Symbol" w:hint="default"/>
      </w:rPr>
    </w:lvl>
    <w:lvl w:ilvl="1" w:tplc="578E50BE">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239B8"/>
    <w:multiLevelType w:val="hybridMultilevel"/>
    <w:tmpl w:val="12CA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E62AA1"/>
    <w:multiLevelType w:val="hybridMultilevel"/>
    <w:tmpl w:val="58F629DA"/>
    <w:lvl w:ilvl="0" w:tplc="14708C60">
      <w:start w:val="1"/>
      <w:numFmt w:val="bullet"/>
      <w:lvlText w:val="•"/>
      <w:lvlJc w:val="left"/>
      <w:pPr>
        <w:tabs>
          <w:tab w:val="num" w:pos="360"/>
        </w:tabs>
        <w:ind w:left="360" w:hanging="360"/>
      </w:pPr>
      <w:rPr>
        <w:rFonts w:ascii="Times New Roman" w:hAnsi="Times New Roman" w:hint="default"/>
      </w:rPr>
    </w:lvl>
    <w:lvl w:ilvl="1" w:tplc="A8EE5F06">
      <w:start w:val="1"/>
      <w:numFmt w:val="bullet"/>
      <w:lvlText w:val="•"/>
      <w:lvlJc w:val="left"/>
      <w:pPr>
        <w:tabs>
          <w:tab w:val="num" w:pos="1080"/>
        </w:tabs>
        <w:ind w:left="1080" w:hanging="360"/>
      </w:pPr>
      <w:rPr>
        <w:rFonts w:ascii="Times New Roman" w:hAnsi="Times New Roman" w:hint="default"/>
      </w:rPr>
    </w:lvl>
    <w:lvl w:ilvl="2" w:tplc="E878FC10">
      <w:start w:val="1"/>
      <w:numFmt w:val="bullet"/>
      <w:lvlText w:val="•"/>
      <w:lvlJc w:val="left"/>
      <w:pPr>
        <w:tabs>
          <w:tab w:val="num" w:pos="1800"/>
        </w:tabs>
        <w:ind w:left="1800" w:hanging="360"/>
      </w:pPr>
      <w:rPr>
        <w:rFonts w:ascii="Times New Roman" w:hAnsi="Times New Roman" w:hint="default"/>
      </w:rPr>
    </w:lvl>
    <w:lvl w:ilvl="3" w:tplc="8284693C">
      <w:numFmt w:val="bullet"/>
      <w:lvlText w:val="–"/>
      <w:lvlJc w:val="left"/>
      <w:pPr>
        <w:tabs>
          <w:tab w:val="num" w:pos="2520"/>
        </w:tabs>
        <w:ind w:left="2520" w:hanging="360"/>
      </w:pPr>
      <w:rPr>
        <w:rFonts w:ascii="Times New Roman" w:hAnsi="Times New Roman" w:hint="default"/>
      </w:rPr>
    </w:lvl>
    <w:lvl w:ilvl="4" w:tplc="C376FB44" w:tentative="1">
      <w:start w:val="1"/>
      <w:numFmt w:val="bullet"/>
      <w:lvlText w:val="•"/>
      <w:lvlJc w:val="left"/>
      <w:pPr>
        <w:tabs>
          <w:tab w:val="num" w:pos="3240"/>
        </w:tabs>
        <w:ind w:left="3240" w:hanging="360"/>
      </w:pPr>
      <w:rPr>
        <w:rFonts w:ascii="Times New Roman" w:hAnsi="Times New Roman" w:hint="default"/>
      </w:rPr>
    </w:lvl>
    <w:lvl w:ilvl="5" w:tplc="E1948BD2" w:tentative="1">
      <w:start w:val="1"/>
      <w:numFmt w:val="bullet"/>
      <w:lvlText w:val="•"/>
      <w:lvlJc w:val="left"/>
      <w:pPr>
        <w:tabs>
          <w:tab w:val="num" w:pos="3960"/>
        </w:tabs>
        <w:ind w:left="3960" w:hanging="360"/>
      </w:pPr>
      <w:rPr>
        <w:rFonts w:ascii="Times New Roman" w:hAnsi="Times New Roman" w:hint="default"/>
      </w:rPr>
    </w:lvl>
    <w:lvl w:ilvl="6" w:tplc="72BADA00" w:tentative="1">
      <w:start w:val="1"/>
      <w:numFmt w:val="bullet"/>
      <w:lvlText w:val="•"/>
      <w:lvlJc w:val="left"/>
      <w:pPr>
        <w:tabs>
          <w:tab w:val="num" w:pos="4680"/>
        </w:tabs>
        <w:ind w:left="4680" w:hanging="360"/>
      </w:pPr>
      <w:rPr>
        <w:rFonts w:ascii="Times New Roman" w:hAnsi="Times New Roman" w:hint="default"/>
      </w:rPr>
    </w:lvl>
    <w:lvl w:ilvl="7" w:tplc="AB069D0E" w:tentative="1">
      <w:start w:val="1"/>
      <w:numFmt w:val="bullet"/>
      <w:lvlText w:val="•"/>
      <w:lvlJc w:val="left"/>
      <w:pPr>
        <w:tabs>
          <w:tab w:val="num" w:pos="5400"/>
        </w:tabs>
        <w:ind w:left="5400" w:hanging="360"/>
      </w:pPr>
      <w:rPr>
        <w:rFonts w:ascii="Times New Roman" w:hAnsi="Times New Roman" w:hint="default"/>
      </w:rPr>
    </w:lvl>
    <w:lvl w:ilvl="8" w:tplc="949E016A" w:tentative="1">
      <w:start w:val="1"/>
      <w:numFmt w:val="bullet"/>
      <w:lvlText w:val="•"/>
      <w:lvlJc w:val="left"/>
      <w:pPr>
        <w:tabs>
          <w:tab w:val="num" w:pos="6120"/>
        </w:tabs>
        <w:ind w:left="6120" w:hanging="360"/>
      </w:pPr>
      <w:rPr>
        <w:rFonts w:ascii="Times New Roman" w:hAnsi="Times New Roman" w:hint="default"/>
      </w:rPr>
    </w:lvl>
  </w:abstractNum>
  <w:abstractNum w:abstractNumId="24" w15:restartNumberingAfterBreak="0">
    <w:nsid w:val="53DD1D69"/>
    <w:multiLevelType w:val="hybridMultilevel"/>
    <w:tmpl w:val="E778A1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776007A"/>
    <w:multiLevelType w:val="hybridMultilevel"/>
    <w:tmpl w:val="E410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4520DD"/>
    <w:multiLevelType w:val="hybridMultilevel"/>
    <w:tmpl w:val="CB840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15DA3"/>
    <w:multiLevelType w:val="hybridMultilevel"/>
    <w:tmpl w:val="FF2CED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4B0ECC"/>
    <w:multiLevelType w:val="hybridMultilevel"/>
    <w:tmpl w:val="ABDA5FE8"/>
    <w:lvl w:ilvl="0" w:tplc="9C7E0B66">
      <w:start w:val="1"/>
      <w:numFmt w:val="bullet"/>
      <w:lvlText w:val="–"/>
      <w:lvlJc w:val="left"/>
      <w:pPr>
        <w:tabs>
          <w:tab w:val="num" w:pos="360"/>
        </w:tabs>
        <w:ind w:left="360" w:hanging="360"/>
      </w:pPr>
      <w:rPr>
        <w:rFonts w:ascii="Times New Roman" w:hAnsi="Times New Roman" w:hint="default"/>
      </w:rPr>
    </w:lvl>
    <w:lvl w:ilvl="1" w:tplc="A1DE36D6">
      <w:start w:val="1"/>
      <w:numFmt w:val="bullet"/>
      <w:lvlText w:val="–"/>
      <w:lvlJc w:val="left"/>
      <w:pPr>
        <w:tabs>
          <w:tab w:val="num" w:pos="1080"/>
        </w:tabs>
        <w:ind w:left="1080" w:hanging="360"/>
      </w:pPr>
      <w:rPr>
        <w:rFonts w:ascii="Times New Roman" w:hAnsi="Times New Roman" w:hint="default"/>
      </w:rPr>
    </w:lvl>
    <w:lvl w:ilvl="2" w:tplc="22C2F574">
      <w:numFmt w:val="bullet"/>
      <w:lvlText w:val="•"/>
      <w:lvlJc w:val="left"/>
      <w:pPr>
        <w:tabs>
          <w:tab w:val="num" w:pos="1800"/>
        </w:tabs>
        <w:ind w:left="1800" w:hanging="360"/>
      </w:pPr>
      <w:rPr>
        <w:rFonts w:ascii="Times New Roman" w:hAnsi="Times New Roman" w:hint="default"/>
      </w:rPr>
    </w:lvl>
    <w:lvl w:ilvl="3" w:tplc="E8DE3302">
      <w:numFmt w:val="bullet"/>
      <w:lvlText w:val="–"/>
      <w:lvlJc w:val="left"/>
      <w:pPr>
        <w:tabs>
          <w:tab w:val="num" w:pos="2520"/>
        </w:tabs>
        <w:ind w:left="2520" w:hanging="360"/>
      </w:pPr>
      <w:rPr>
        <w:rFonts w:ascii="Times New Roman" w:hAnsi="Times New Roman" w:hint="default"/>
      </w:rPr>
    </w:lvl>
    <w:lvl w:ilvl="4" w:tplc="26200194" w:tentative="1">
      <w:start w:val="1"/>
      <w:numFmt w:val="bullet"/>
      <w:lvlText w:val="–"/>
      <w:lvlJc w:val="left"/>
      <w:pPr>
        <w:tabs>
          <w:tab w:val="num" w:pos="3240"/>
        </w:tabs>
        <w:ind w:left="3240" w:hanging="360"/>
      </w:pPr>
      <w:rPr>
        <w:rFonts w:ascii="Times New Roman" w:hAnsi="Times New Roman" w:hint="default"/>
      </w:rPr>
    </w:lvl>
    <w:lvl w:ilvl="5" w:tplc="08B41B00" w:tentative="1">
      <w:start w:val="1"/>
      <w:numFmt w:val="bullet"/>
      <w:lvlText w:val="–"/>
      <w:lvlJc w:val="left"/>
      <w:pPr>
        <w:tabs>
          <w:tab w:val="num" w:pos="3960"/>
        </w:tabs>
        <w:ind w:left="3960" w:hanging="360"/>
      </w:pPr>
      <w:rPr>
        <w:rFonts w:ascii="Times New Roman" w:hAnsi="Times New Roman" w:hint="default"/>
      </w:rPr>
    </w:lvl>
    <w:lvl w:ilvl="6" w:tplc="3F2CEAF6" w:tentative="1">
      <w:start w:val="1"/>
      <w:numFmt w:val="bullet"/>
      <w:lvlText w:val="–"/>
      <w:lvlJc w:val="left"/>
      <w:pPr>
        <w:tabs>
          <w:tab w:val="num" w:pos="4680"/>
        </w:tabs>
        <w:ind w:left="4680" w:hanging="360"/>
      </w:pPr>
      <w:rPr>
        <w:rFonts w:ascii="Times New Roman" w:hAnsi="Times New Roman" w:hint="default"/>
      </w:rPr>
    </w:lvl>
    <w:lvl w:ilvl="7" w:tplc="91C83F70" w:tentative="1">
      <w:start w:val="1"/>
      <w:numFmt w:val="bullet"/>
      <w:lvlText w:val="–"/>
      <w:lvlJc w:val="left"/>
      <w:pPr>
        <w:tabs>
          <w:tab w:val="num" w:pos="5400"/>
        </w:tabs>
        <w:ind w:left="5400" w:hanging="360"/>
      </w:pPr>
      <w:rPr>
        <w:rFonts w:ascii="Times New Roman" w:hAnsi="Times New Roman" w:hint="default"/>
      </w:rPr>
    </w:lvl>
    <w:lvl w:ilvl="8" w:tplc="181A19E0" w:tentative="1">
      <w:start w:val="1"/>
      <w:numFmt w:val="bullet"/>
      <w:lvlText w:val="–"/>
      <w:lvlJc w:val="left"/>
      <w:pPr>
        <w:tabs>
          <w:tab w:val="num" w:pos="6120"/>
        </w:tabs>
        <w:ind w:left="6120" w:hanging="360"/>
      </w:pPr>
      <w:rPr>
        <w:rFonts w:ascii="Times New Roman" w:hAnsi="Times New Roman" w:hint="default"/>
      </w:rPr>
    </w:lvl>
  </w:abstractNum>
  <w:abstractNum w:abstractNumId="30" w15:restartNumberingAfterBreak="0">
    <w:nsid w:val="6211718C"/>
    <w:multiLevelType w:val="hybridMultilevel"/>
    <w:tmpl w:val="4EEAF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EC37E1"/>
    <w:multiLevelType w:val="hybridMultilevel"/>
    <w:tmpl w:val="E1A64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533A94"/>
    <w:multiLevelType w:val="hybridMultilevel"/>
    <w:tmpl w:val="1DD01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7B3983"/>
    <w:multiLevelType w:val="hybridMultilevel"/>
    <w:tmpl w:val="3ADEB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2D43CF"/>
    <w:multiLevelType w:val="hybridMultilevel"/>
    <w:tmpl w:val="465EF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A37911"/>
    <w:multiLevelType w:val="hybridMultilevel"/>
    <w:tmpl w:val="9B4AF0A0"/>
    <w:lvl w:ilvl="0" w:tplc="04090003">
      <w:start w:val="1"/>
      <w:numFmt w:val="bullet"/>
      <w:lvlText w:val="o"/>
      <w:lvlJc w:val="left"/>
      <w:pPr>
        <w:ind w:left="720" w:hanging="360"/>
      </w:pPr>
      <w:rPr>
        <w:rFonts w:ascii="Courier New" w:hAnsi="Courier New" w:cs="Courier New" w:hint="default"/>
      </w:rPr>
    </w:lvl>
    <w:lvl w:ilvl="1" w:tplc="578E50BE">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D1F7C"/>
    <w:multiLevelType w:val="hybridMultilevel"/>
    <w:tmpl w:val="10865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C423BF"/>
    <w:multiLevelType w:val="hybridMultilevel"/>
    <w:tmpl w:val="3C829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016055"/>
    <w:multiLevelType w:val="hybridMultilevel"/>
    <w:tmpl w:val="C1C2E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572737"/>
    <w:multiLevelType w:val="hybridMultilevel"/>
    <w:tmpl w:val="E5101D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A8A4286"/>
    <w:multiLevelType w:val="hybridMultilevel"/>
    <w:tmpl w:val="AC885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D2711E"/>
    <w:multiLevelType w:val="hybridMultilevel"/>
    <w:tmpl w:val="246244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num>
  <w:num w:numId="4">
    <w:abstractNumId w:val="3"/>
  </w:num>
  <w:num w:numId="5">
    <w:abstractNumId w:val="1"/>
  </w:num>
  <w:num w:numId="6">
    <w:abstractNumId w:val="30"/>
  </w:num>
  <w:num w:numId="7">
    <w:abstractNumId w:val="25"/>
  </w:num>
  <w:num w:numId="8">
    <w:abstractNumId w:val="12"/>
  </w:num>
  <w:num w:numId="9">
    <w:abstractNumId w:val="21"/>
  </w:num>
  <w:num w:numId="10">
    <w:abstractNumId w:val="4"/>
  </w:num>
  <w:num w:numId="11">
    <w:abstractNumId w:val="35"/>
  </w:num>
  <w:num w:numId="12">
    <w:abstractNumId w:val="19"/>
  </w:num>
  <w:num w:numId="13">
    <w:abstractNumId w:val="13"/>
  </w:num>
  <w:num w:numId="14">
    <w:abstractNumId w:val="39"/>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2"/>
  </w:num>
  <w:num w:numId="21">
    <w:abstractNumId w:val="14"/>
  </w:num>
  <w:num w:numId="22">
    <w:abstractNumId w:val="33"/>
  </w:num>
  <w:num w:numId="23">
    <w:abstractNumId w:val="22"/>
  </w:num>
  <w:num w:numId="24">
    <w:abstractNumId w:val="7"/>
  </w:num>
  <w:num w:numId="25">
    <w:abstractNumId w:val="31"/>
  </w:num>
  <w:num w:numId="26">
    <w:abstractNumId w:val="11"/>
  </w:num>
  <w:num w:numId="27">
    <w:abstractNumId w:val="10"/>
  </w:num>
  <w:num w:numId="28">
    <w:abstractNumId w:val="16"/>
  </w:num>
  <w:num w:numId="29">
    <w:abstractNumId w:val="34"/>
  </w:num>
  <w:num w:numId="30">
    <w:abstractNumId w:val="20"/>
  </w:num>
  <w:num w:numId="31">
    <w:abstractNumId w:val="26"/>
  </w:num>
  <w:num w:numId="32">
    <w:abstractNumId w:val="2"/>
  </w:num>
  <w:num w:numId="33">
    <w:abstractNumId w:val="36"/>
  </w:num>
  <w:num w:numId="34">
    <w:abstractNumId w:val="40"/>
  </w:num>
  <w:num w:numId="35">
    <w:abstractNumId w:val="27"/>
  </w:num>
  <w:num w:numId="36">
    <w:abstractNumId w:val="28"/>
  </w:num>
  <w:num w:numId="37">
    <w:abstractNumId w:val="17"/>
  </w:num>
  <w:num w:numId="38">
    <w:abstractNumId w:val="5"/>
  </w:num>
  <w:num w:numId="39">
    <w:abstractNumId w:val="23"/>
  </w:num>
  <w:num w:numId="40">
    <w:abstractNumId w:val="6"/>
  </w:num>
  <w:num w:numId="41">
    <w:abstractNumId w:val="0"/>
  </w:num>
  <w:num w:numId="42">
    <w:abstractNumId w:val="37"/>
  </w:num>
  <w:num w:numId="43">
    <w:abstractNumId w:val="38"/>
  </w:num>
  <w:num w:numId="44">
    <w:abstractNumId w:val="15"/>
  </w:num>
  <w:num w:numId="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oofState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267"/>
    <w:rsid w:val="00000626"/>
    <w:rsid w:val="00002368"/>
    <w:rsid w:val="00003231"/>
    <w:rsid w:val="00005943"/>
    <w:rsid w:val="0000693F"/>
    <w:rsid w:val="000133D2"/>
    <w:rsid w:val="00015016"/>
    <w:rsid w:val="000159DA"/>
    <w:rsid w:val="00016861"/>
    <w:rsid w:val="00016D11"/>
    <w:rsid w:val="00017468"/>
    <w:rsid w:val="00017991"/>
    <w:rsid w:val="00021103"/>
    <w:rsid w:val="00021674"/>
    <w:rsid w:val="00022805"/>
    <w:rsid w:val="00024854"/>
    <w:rsid w:val="000309CC"/>
    <w:rsid w:val="00030DC4"/>
    <w:rsid w:val="000337E5"/>
    <w:rsid w:val="00034D4E"/>
    <w:rsid w:val="00042E1F"/>
    <w:rsid w:val="00043D57"/>
    <w:rsid w:val="0004428C"/>
    <w:rsid w:val="00044A44"/>
    <w:rsid w:val="00045A6F"/>
    <w:rsid w:val="0004799E"/>
    <w:rsid w:val="000510E1"/>
    <w:rsid w:val="000522F2"/>
    <w:rsid w:val="00052610"/>
    <w:rsid w:val="00052CFA"/>
    <w:rsid w:val="00054B56"/>
    <w:rsid w:val="00054FC9"/>
    <w:rsid w:val="00057345"/>
    <w:rsid w:val="00065B56"/>
    <w:rsid w:val="00067F1B"/>
    <w:rsid w:val="00074024"/>
    <w:rsid w:val="00081DF0"/>
    <w:rsid w:val="000851A6"/>
    <w:rsid w:val="0009056F"/>
    <w:rsid w:val="000906F1"/>
    <w:rsid w:val="00091533"/>
    <w:rsid w:val="00091987"/>
    <w:rsid w:val="000977E4"/>
    <w:rsid w:val="000A3F81"/>
    <w:rsid w:val="000B040E"/>
    <w:rsid w:val="000B2746"/>
    <w:rsid w:val="000B3B18"/>
    <w:rsid w:val="000B5785"/>
    <w:rsid w:val="000C4CE8"/>
    <w:rsid w:val="000C5A9E"/>
    <w:rsid w:val="000C6936"/>
    <w:rsid w:val="000C6E57"/>
    <w:rsid w:val="000D176C"/>
    <w:rsid w:val="000D1E8A"/>
    <w:rsid w:val="000D2434"/>
    <w:rsid w:val="000D34DA"/>
    <w:rsid w:val="000D6154"/>
    <w:rsid w:val="000D7C47"/>
    <w:rsid w:val="000E0EFE"/>
    <w:rsid w:val="000E2CF7"/>
    <w:rsid w:val="000E2D33"/>
    <w:rsid w:val="000E4516"/>
    <w:rsid w:val="000E57E3"/>
    <w:rsid w:val="000E5AEC"/>
    <w:rsid w:val="000E5DC1"/>
    <w:rsid w:val="000E71FE"/>
    <w:rsid w:val="000E7C72"/>
    <w:rsid w:val="000F559C"/>
    <w:rsid w:val="000F6131"/>
    <w:rsid w:val="001005BE"/>
    <w:rsid w:val="00100F17"/>
    <w:rsid w:val="00101D2D"/>
    <w:rsid w:val="001031E0"/>
    <w:rsid w:val="001044EA"/>
    <w:rsid w:val="001062CC"/>
    <w:rsid w:val="00106E3D"/>
    <w:rsid w:val="00110B42"/>
    <w:rsid w:val="00112297"/>
    <w:rsid w:val="0011701D"/>
    <w:rsid w:val="001206C7"/>
    <w:rsid w:val="001207CA"/>
    <w:rsid w:val="00123145"/>
    <w:rsid w:val="00131A82"/>
    <w:rsid w:val="00132969"/>
    <w:rsid w:val="00132E12"/>
    <w:rsid w:val="0013422F"/>
    <w:rsid w:val="0013445D"/>
    <w:rsid w:val="00137723"/>
    <w:rsid w:val="00137D58"/>
    <w:rsid w:val="001404E2"/>
    <w:rsid w:val="00143EC1"/>
    <w:rsid w:val="001458A2"/>
    <w:rsid w:val="00145C55"/>
    <w:rsid w:val="00145F97"/>
    <w:rsid w:val="001507A2"/>
    <w:rsid w:val="0015109E"/>
    <w:rsid w:val="001531F7"/>
    <w:rsid w:val="00154CD5"/>
    <w:rsid w:val="001551AD"/>
    <w:rsid w:val="00156795"/>
    <w:rsid w:val="00156A56"/>
    <w:rsid w:val="00160653"/>
    <w:rsid w:val="0016232A"/>
    <w:rsid w:val="00162821"/>
    <w:rsid w:val="0016508E"/>
    <w:rsid w:val="001665D8"/>
    <w:rsid w:val="0017344F"/>
    <w:rsid w:val="00174262"/>
    <w:rsid w:val="00174D63"/>
    <w:rsid w:val="00175B31"/>
    <w:rsid w:val="00177B78"/>
    <w:rsid w:val="00180097"/>
    <w:rsid w:val="001868ED"/>
    <w:rsid w:val="001879F8"/>
    <w:rsid w:val="00192919"/>
    <w:rsid w:val="00196205"/>
    <w:rsid w:val="001A07A9"/>
    <w:rsid w:val="001A19CE"/>
    <w:rsid w:val="001A735D"/>
    <w:rsid w:val="001A7B00"/>
    <w:rsid w:val="001B0473"/>
    <w:rsid w:val="001B308A"/>
    <w:rsid w:val="001B372A"/>
    <w:rsid w:val="001C3403"/>
    <w:rsid w:val="001C47D8"/>
    <w:rsid w:val="001C503E"/>
    <w:rsid w:val="001D0996"/>
    <w:rsid w:val="001D3A3D"/>
    <w:rsid w:val="001E036D"/>
    <w:rsid w:val="001E197A"/>
    <w:rsid w:val="001E29B1"/>
    <w:rsid w:val="001E2FE2"/>
    <w:rsid w:val="001F0CCC"/>
    <w:rsid w:val="00204171"/>
    <w:rsid w:val="0020659A"/>
    <w:rsid w:val="00210F29"/>
    <w:rsid w:val="0021296A"/>
    <w:rsid w:val="002201DD"/>
    <w:rsid w:val="00222787"/>
    <w:rsid w:val="00223A3E"/>
    <w:rsid w:val="00223F25"/>
    <w:rsid w:val="00224D4B"/>
    <w:rsid w:val="0023035C"/>
    <w:rsid w:val="00233C38"/>
    <w:rsid w:val="00235AE8"/>
    <w:rsid w:val="00236477"/>
    <w:rsid w:val="00241A13"/>
    <w:rsid w:val="00241AA2"/>
    <w:rsid w:val="00243074"/>
    <w:rsid w:val="002446C2"/>
    <w:rsid w:val="0024612E"/>
    <w:rsid w:val="00247D2E"/>
    <w:rsid w:val="00251C16"/>
    <w:rsid w:val="0025206C"/>
    <w:rsid w:val="00252602"/>
    <w:rsid w:val="0025265F"/>
    <w:rsid w:val="00253181"/>
    <w:rsid w:val="00254FDD"/>
    <w:rsid w:val="002567B9"/>
    <w:rsid w:val="002613DC"/>
    <w:rsid w:val="00265E53"/>
    <w:rsid w:val="002667BB"/>
    <w:rsid w:val="00266A7B"/>
    <w:rsid w:val="00267000"/>
    <w:rsid w:val="00272658"/>
    <w:rsid w:val="002740A7"/>
    <w:rsid w:val="00274F1C"/>
    <w:rsid w:val="00276A22"/>
    <w:rsid w:val="00277819"/>
    <w:rsid w:val="00277BE3"/>
    <w:rsid w:val="00282503"/>
    <w:rsid w:val="0028299B"/>
    <w:rsid w:val="00283D29"/>
    <w:rsid w:val="00286325"/>
    <w:rsid w:val="002873E5"/>
    <w:rsid w:val="002910F8"/>
    <w:rsid w:val="00291DE3"/>
    <w:rsid w:val="00293E34"/>
    <w:rsid w:val="00296442"/>
    <w:rsid w:val="002A0A3B"/>
    <w:rsid w:val="002A7851"/>
    <w:rsid w:val="002A78B5"/>
    <w:rsid w:val="002B2D4F"/>
    <w:rsid w:val="002B2F65"/>
    <w:rsid w:val="002B4FA7"/>
    <w:rsid w:val="002B6066"/>
    <w:rsid w:val="002B7562"/>
    <w:rsid w:val="002C4294"/>
    <w:rsid w:val="002C6911"/>
    <w:rsid w:val="002D08B0"/>
    <w:rsid w:val="002E0DD3"/>
    <w:rsid w:val="002E54A9"/>
    <w:rsid w:val="002E65EC"/>
    <w:rsid w:val="002F0151"/>
    <w:rsid w:val="002F4629"/>
    <w:rsid w:val="003014FF"/>
    <w:rsid w:val="003037C8"/>
    <w:rsid w:val="0030513E"/>
    <w:rsid w:val="00307970"/>
    <w:rsid w:val="00310D64"/>
    <w:rsid w:val="00312ACB"/>
    <w:rsid w:val="003156CF"/>
    <w:rsid w:val="003158A4"/>
    <w:rsid w:val="00315FC1"/>
    <w:rsid w:val="00321F02"/>
    <w:rsid w:val="003233C6"/>
    <w:rsid w:val="0032535E"/>
    <w:rsid w:val="003258CF"/>
    <w:rsid w:val="00326B89"/>
    <w:rsid w:val="003305B2"/>
    <w:rsid w:val="00330F71"/>
    <w:rsid w:val="0033306E"/>
    <w:rsid w:val="00337B07"/>
    <w:rsid w:val="0034021E"/>
    <w:rsid w:val="003404C4"/>
    <w:rsid w:val="003407BF"/>
    <w:rsid w:val="00352B37"/>
    <w:rsid w:val="00356638"/>
    <w:rsid w:val="00364B9D"/>
    <w:rsid w:val="003653D9"/>
    <w:rsid w:val="003656B5"/>
    <w:rsid w:val="00365EC8"/>
    <w:rsid w:val="00370B80"/>
    <w:rsid w:val="00370FD6"/>
    <w:rsid w:val="003713A2"/>
    <w:rsid w:val="0037429A"/>
    <w:rsid w:val="003759E8"/>
    <w:rsid w:val="003770F8"/>
    <w:rsid w:val="0037752F"/>
    <w:rsid w:val="00377EEA"/>
    <w:rsid w:val="00377F17"/>
    <w:rsid w:val="0038047C"/>
    <w:rsid w:val="003806CA"/>
    <w:rsid w:val="00385912"/>
    <w:rsid w:val="003871CE"/>
    <w:rsid w:val="00390267"/>
    <w:rsid w:val="00394A66"/>
    <w:rsid w:val="00396B06"/>
    <w:rsid w:val="003A009E"/>
    <w:rsid w:val="003A19DB"/>
    <w:rsid w:val="003A2738"/>
    <w:rsid w:val="003A57B7"/>
    <w:rsid w:val="003B02CD"/>
    <w:rsid w:val="003B0A34"/>
    <w:rsid w:val="003B12F1"/>
    <w:rsid w:val="003B13E7"/>
    <w:rsid w:val="003B1C4C"/>
    <w:rsid w:val="003B7FF7"/>
    <w:rsid w:val="003C33F2"/>
    <w:rsid w:val="003C578D"/>
    <w:rsid w:val="003C6680"/>
    <w:rsid w:val="003C6D4C"/>
    <w:rsid w:val="003D0AF9"/>
    <w:rsid w:val="003D0E25"/>
    <w:rsid w:val="003D1BC6"/>
    <w:rsid w:val="003D5F11"/>
    <w:rsid w:val="003D7A73"/>
    <w:rsid w:val="003E0C3C"/>
    <w:rsid w:val="003E4604"/>
    <w:rsid w:val="003E5989"/>
    <w:rsid w:val="003E5A18"/>
    <w:rsid w:val="003F29B1"/>
    <w:rsid w:val="003F437E"/>
    <w:rsid w:val="003F4F4F"/>
    <w:rsid w:val="0040059F"/>
    <w:rsid w:val="0040385B"/>
    <w:rsid w:val="004100BF"/>
    <w:rsid w:val="00414776"/>
    <w:rsid w:val="004236B0"/>
    <w:rsid w:val="0042441F"/>
    <w:rsid w:val="0042579D"/>
    <w:rsid w:val="00426433"/>
    <w:rsid w:val="004276D9"/>
    <w:rsid w:val="00427D0D"/>
    <w:rsid w:val="00430800"/>
    <w:rsid w:val="00430894"/>
    <w:rsid w:val="0043140C"/>
    <w:rsid w:val="00434240"/>
    <w:rsid w:val="00434B09"/>
    <w:rsid w:val="00436D55"/>
    <w:rsid w:val="004377CD"/>
    <w:rsid w:val="004400A9"/>
    <w:rsid w:val="004408F3"/>
    <w:rsid w:val="00441BFB"/>
    <w:rsid w:val="00446B88"/>
    <w:rsid w:val="00450EAD"/>
    <w:rsid w:val="00455B30"/>
    <w:rsid w:val="00457D84"/>
    <w:rsid w:val="004603FD"/>
    <w:rsid w:val="004617DC"/>
    <w:rsid w:val="00464D48"/>
    <w:rsid w:val="00465506"/>
    <w:rsid w:val="00471BBB"/>
    <w:rsid w:val="004765A8"/>
    <w:rsid w:val="00482C33"/>
    <w:rsid w:val="004840E8"/>
    <w:rsid w:val="00484E36"/>
    <w:rsid w:val="00487E3A"/>
    <w:rsid w:val="00492DBC"/>
    <w:rsid w:val="004935DC"/>
    <w:rsid w:val="00494B40"/>
    <w:rsid w:val="00495B34"/>
    <w:rsid w:val="00497151"/>
    <w:rsid w:val="00497740"/>
    <w:rsid w:val="004A0912"/>
    <w:rsid w:val="004A0A0E"/>
    <w:rsid w:val="004A0C86"/>
    <w:rsid w:val="004A758A"/>
    <w:rsid w:val="004B7B8C"/>
    <w:rsid w:val="004B7C89"/>
    <w:rsid w:val="004C32A0"/>
    <w:rsid w:val="004C6A5A"/>
    <w:rsid w:val="004C7691"/>
    <w:rsid w:val="004D05AC"/>
    <w:rsid w:val="004D0CBA"/>
    <w:rsid w:val="004D5934"/>
    <w:rsid w:val="004E0A1A"/>
    <w:rsid w:val="004E0F35"/>
    <w:rsid w:val="004E4949"/>
    <w:rsid w:val="004E7E9F"/>
    <w:rsid w:val="004F1663"/>
    <w:rsid w:val="004F4376"/>
    <w:rsid w:val="004F4B6E"/>
    <w:rsid w:val="004F55D2"/>
    <w:rsid w:val="0050190D"/>
    <w:rsid w:val="005025FF"/>
    <w:rsid w:val="0050361D"/>
    <w:rsid w:val="00505779"/>
    <w:rsid w:val="00511631"/>
    <w:rsid w:val="00512B90"/>
    <w:rsid w:val="00513A79"/>
    <w:rsid w:val="00513DFD"/>
    <w:rsid w:val="00513F74"/>
    <w:rsid w:val="00514881"/>
    <w:rsid w:val="00517FEA"/>
    <w:rsid w:val="00522714"/>
    <w:rsid w:val="00523394"/>
    <w:rsid w:val="00524469"/>
    <w:rsid w:val="0052542D"/>
    <w:rsid w:val="005266DF"/>
    <w:rsid w:val="0052732A"/>
    <w:rsid w:val="00530746"/>
    <w:rsid w:val="00532FF8"/>
    <w:rsid w:val="005361F3"/>
    <w:rsid w:val="00540B46"/>
    <w:rsid w:val="00540E5F"/>
    <w:rsid w:val="005422D9"/>
    <w:rsid w:val="0054353D"/>
    <w:rsid w:val="00552833"/>
    <w:rsid w:val="00552CB7"/>
    <w:rsid w:val="005536FA"/>
    <w:rsid w:val="00553E33"/>
    <w:rsid w:val="005540A8"/>
    <w:rsid w:val="00556869"/>
    <w:rsid w:val="00557E0F"/>
    <w:rsid w:val="00561C69"/>
    <w:rsid w:val="00562AB4"/>
    <w:rsid w:val="0056310E"/>
    <w:rsid w:val="00563FBD"/>
    <w:rsid w:val="005650C5"/>
    <w:rsid w:val="0056689E"/>
    <w:rsid w:val="005677F3"/>
    <w:rsid w:val="00573827"/>
    <w:rsid w:val="0057421C"/>
    <w:rsid w:val="005770C3"/>
    <w:rsid w:val="00581CC8"/>
    <w:rsid w:val="00582243"/>
    <w:rsid w:val="00583146"/>
    <w:rsid w:val="00583EDA"/>
    <w:rsid w:val="00584561"/>
    <w:rsid w:val="00585C82"/>
    <w:rsid w:val="005909FA"/>
    <w:rsid w:val="0059200B"/>
    <w:rsid w:val="00592906"/>
    <w:rsid w:val="005A0965"/>
    <w:rsid w:val="005A1CAB"/>
    <w:rsid w:val="005A2B0C"/>
    <w:rsid w:val="005A36F7"/>
    <w:rsid w:val="005B1D77"/>
    <w:rsid w:val="005B20C8"/>
    <w:rsid w:val="005B2DE9"/>
    <w:rsid w:val="005B3657"/>
    <w:rsid w:val="005B3EB3"/>
    <w:rsid w:val="005C318D"/>
    <w:rsid w:val="005C429B"/>
    <w:rsid w:val="005C54AF"/>
    <w:rsid w:val="005C5C6A"/>
    <w:rsid w:val="005C72CE"/>
    <w:rsid w:val="005D2A78"/>
    <w:rsid w:val="005D7130"/>
    <w:rsid w:val="005E1568"/>
    <w:rsid w:val="005E5EC8"/>
    <w:rsid w:val="005E6C19"/>
    <w:rsid w:val="005F7DB2"/>
    <w:rsid w:val="006119BD"/>
    <w:rsid w:val="00615908"/>
    <w:rsid w:val="00617896"/>
    <w:rsid w:val="006200AD"/>
    <w:rsid w:val="006241E5"/>
    <w:rsid w:val="00630218"/>
    <w:rsid w:val="006302D0"/>
    <w:rsid w:val="00630869"/>
    <w:rsid w:val="006308D5"/>
    <w:rsid w:val="00634F21"/>
    <w:rsid w:val="00640973"/>
    <w:rsid w:val="00641B1D"/>
    <w:rsid w:val="00641FAC"/>
    <w:rsid w:val="00642323"/>
    <w:rsid w:val="00656FD2"/>
    <w:rsid w:val="00663446"/>
    <w:rsid w:val="00672D1A"/>
    <w:rsid w:val="0067507C"/>
    <w:rsid w:val="00677A7F"/>
    <w:rsid w:val="006811B1"/>
    <w:rsid w:val="006837C9"/>
    <w:rsid w:val="0068466D"/>
    <w:rsid w:val="00685C72"/>
    <w:rsid w:val="00685D6A"/>
    <w:rsid w:val="00686EF5"/>
    <w:rsid w:val="00691A58"/>
    <w:rsid w:val="00694709"/>
    <w:rsid w:val="006962B4"/>
    <w:rsid w:val="00697740"/>
    <w:rsid w:val="00697D3C"/>
    <w:rsid w:val="006A365A"/>
    <w:rsid w:val="006A3DC1"/>
    <w:rsid w:val="006A5356"/>
    <w:rsid w:val="006A6F14"/>
    <w:rsid w:val="006B0829"/>
    <w:rsid w:val="006B2E29"/>
    <w:rsid w:val="006B4D43"/>
    <w:rsid w:val="006C0439"/>
    <w:rsid w:val="006C07AA"/>
    <w:rsid w:val="006C27BB"/>
    <w:rsid w:val="006C51FD"/>
    <w:rsid w:val="006C7114"/>
    <w:rsid w:val="006D61B5"/>
    <w:rsid w:val="006E01A5"/>
    <w:rsid w:val="006E2073"/>
    <w:rsid w:val="006E2E7E"/>
    <w:rsid w:val="006E7099"/>
    <w:rsid w:val="006E77AE"/>
    <w:rsid w:val="006F27FA"/>
    <w:rsid w:val="006F3C25"/>
    <w:rsid w:val="006F44C0"/>
    <w:rsid w:val="006F4F03"/>
    <w:rsid w:val="006F70ED"/>
    <w:rsid w:val="00702C23"/>
    <w:rsid w:val="0071329D"/>
    <w:rsid w:val="00714ABB"/>
    <w:rsid w:val="00714BCE"/>
    <w:rsid w:val="00714E81"/>
    <w:rsid w:val="00717672"/>
    <w:rsid w:val="00720DD1"/>
    <w:rsid w:val="007226D8"/>
    <w:rsid w:val="007261C5"/>
    <w:rsid w:val="00726F2A"/>
    <w:rsid w:val="007272D7"/>
    <w:rsid w:val="00727E1A"/>
    <w:rsid w:val="00731FFF"/>
    <w:rsid w:val="007334E1"/>
    <w:rsid w:val="00735DF2"/>
    <w:rsid w:val="007373CC"/>
    <w:rsid w:val="0074625A"/>
    <w:rsid w:val="007471A2"/>
    <w:rsid w:val="00750828"/>
    <w:rsid w:val="007531E3"/>
    <w:rsid w:val="007540B4"/>
    <w:rsid w:val="007559C0"/>
    <w:rsid w:val="00757478"/>
    <w:rsid w:val="007575CC"/>
    <w:rsid w:val="00761EE1"/>
    <w:rsid w:val="00762232"/>
    <w:rsid w:val="00762AB3"/>
    <w:rsid w:val="007639C0"/>
    <w:rsid w:val="007667D1"/>
    <w:rsid w:val="007677B0"/>
    <w:rsid w:val="00775842"/>
    <w:rsid w:val="00776E87"/>
    <w:rsid w:val="0077722C"/>
    <w:rsid w:val="00780A73"/>
    <w:rsid w:val="00781E2E"/>
    <w:rsid w:val="00782EA0"/>
    <w:rsid w:val="00785333"/>
    <w:rsid w:val="007867C1"/>
    <w:rsid w:val="00787425"/>
    <w:rsid w:val="00793EFA"/>
    <w:rsid w:val="007A2437"/>
    <w:rsid w:val="007A3C7D"/>
    <w:rsid w:val="007B03C8"/>
    <w:rsid w:val="007C0DC1"/>
    <w:rsid w:val="007C2FFD"/>
    <w:rsid w:val="007C57E1"/>
    <w:rsid w:val="007D3D29"/>
    <w:rsid w:val="007D61F4"/>
    <w:rsid w:val="007D70B9"/>
    <w:rsid w:val="007D7D7A"/>
    <w:rsid w:val="007E0FC1"/>
    <w:rsid w:val="007E5B31"/>
    <w:rsid w:val="007E6B2C"/>
    <w:rsid w:val="007F032D"/>
    <w:rsid w:val="007F5414"/>
    <w:rsid w:val="007F5EAB"/>
    <w:rsid w:val="007F7216"/>
    <w:rsid w:val="007F7808"/>
    <w:rsid w:val="00800630"/>
    <w:rsid w:val="00800C97"/>
    <w:rsid w:val="00801BAF"/>
    <w:rsid w:val="0080793D"/>
    <w:rsid w:val="00810635"/>
    <w:rsid w:val="008123A6"/>
    <w:rsid w:val="0081271C"/>
    <w:rsid w:val="00814644"/>
    <w:rsid w:val="00815279"/>
    <w:rsid w:val="00816188"/>
    <w:rsid w:val="008204BB"/>
    <w:rsid w:val="00832B84"/>
    <w:rsid w:val="00832D20"/>
    <w:rsid w:val="00832D94"/>
    <w:rsid w:val="00844936"/>
    <w:rsid w:val="00844A2F"/>
    <w:rsid w:val="00844C84"/>
    <w:rsid w:val="00845A66"/>
    <w:rsid w:val="00847C5E"/>
    <w:rsid w:val="00850768"/>
    <w:rsid w:val="00851505"/>
    <w:rsid w:val="00857D97"/>
    <w:rsid w:val="008610A0"/>
    <w:rsid w:val="008625FD"/>
    <w:rsid w:val="00865258"/>
    <w:rsid w:val="0086688D"/>
    <w:rsid w:val="00871601"/>
    <w:rsid w:val="008716E5"/>
    <w:rsid w:val="0087495A"/>
    <w:rsid w:val="00875C84"/>
    <w:rsid w:val="0087691A"/>
    <w:rsid w:val="008809B5"/>
    <w:rsid w:val="008813CF"/>
    <w:rsid w:val="00881B1D"/>
    <w:rsid w:val="008829DC"/>
    <w:rsid w:val="008849E7"/>
    <w:rsid w:val="00886C57"/>
    <w:rsid w:val="008878C4"/>
    <w:rsid w:val="008915F2"/>
    <w:rsid w:val="00892744"/>
    <w:rsid w:val="00895631"/>
    <w:rsid w:val="00897541"/>
    <w:rsid w:val="008A4D9B"/>
    <w:rsid w:val="008A62C0"/>
    <w:rsid w:val="008A7894"/>
    <w:rsid w:val="008A7E15"/>
    <w:rsid w:val="008B65FB"/>
    <w:rsid w:val="008C42DC"/>
    <w:rsid w:val="008C7807"/>
    <w:rsid w:val="008D14A3"/>
    <w:rsid w:val="008D3B5B"/>
    <w:rsid w:val="008D4BE0"/>
    <w:rsid w:val="008D7882"/>
    <w:rsid w:val="008D7FA9"/>
    <w:rsid w:val="008E052E"/>
    <w:rsid w:val="008E5DFD"/>
    <w:rsid w:val="008F070F"/>
    <w:rsid w:val="008F2546"/>
    <w:rsid w:val="008F2A68"/>
    <w:rsid w:val="008F2F94"/>
    <w:rsid w:val="008F64B1"/>
    <w:rsid w:val="008F7178"/>
    <w:rsid w:val="009030D0"/>
    <w:rsid w:val="00905816"/>
    <w:rsid w:val="00906786"/>
    <w:rsid w:val="00906F9A"/>
    <w:rsid w:val="009102ED"/>
    <w:rsid w:val="00911039"/>
    <w:rsid w:val="009124FD"/>
    <w:rsid w:val="00912D50"/>
    <w:rsid w:val="00915C85"/>
    <w:rsid w:val="00917A4F"/>
    <w:rsid w:val="00921EA0"/>
    <w:rsid w:val="00924CC0"/>
    <w:rsid w:val="009304EA"/>
    <w:rsid w:val="00930A90"/>
    <w:rsid w:val="009320E8"/>
    <w:rsid w:val="0093331C"/>
    <w:rsid w:val="00933C3E"/>
    <w:rsid w:val="00935CC0"/>
    <w:rsid w:val="00936A01"/>
    <w:rsid w:val="0093706E"/>
    <w:rsid w:val="00937A57"/>
    <w:rsid w:val="00945ED5"/>
    <w:rsid w:val="009505B5"/>
    <w:rsid w:val="00951EF3"/>
    <w:rsid w:val="00953409"/>
    <w:rsid w:val="0095438C"/>
    <w:rsid w:val="0095573E"/>
    <w:rsid w:val="009569B4"/>
    <w:rsid w:val="00956F46"/>
    <w:rsid w:val="00957374"/>
    <w:rsid w:val="009607AA"/>
    <w:rsid w:val="00963941"/>
    <w:rsid w:val="00963AF6"/>
    <w:rsid w:val="00963E7F"/>
    <w:rsid w:val="00966FFF"/>
    <w:rsid w:val="0097373A"/>
    <w:rsid w:val="00975F9F"/>
    <w:rsid w:val="00982C43"/>
    <w:rsid w:val="0098703B"/>
    <w:rsid w:val="00990060"/>
    <w:rsid w:val="0099037B"/>
    <w:rsid w:val="00990624"/>
    <w:rsid w:val="009954D7"/>
    <w:rsid w:val="00995D6E"/>
    <w:rsid w:val="009A3B87"/>
    <w:rsid w:val="009A751D"/>
    <w:rsid w:val="009A7B08"/>
    <w:rsid w:val="009B36CF"/>
    <w:rsid w:val="009B54A1"/>
    <w:rsid w:val="009C19D9"/>
    <w:rsid w:val="009C22D4"/>
    <w:rsid w:val="009C2340"/>
    <w:rsid w:val="009C24DA"/>
    <w:rsid w:val="009C3864"/>
    <w:rsid w:val="009C53A7"/>
    <w:rsid w:val="009C6AE9"/>
    <w:rsid w:val="009D0721"/>
    <w:rsid w:val="009D5770"/>
    <w:rsid w:val="009D6D13"/>
    <w:rsid w:val="009E1060"/>
    <w:rsid w:val="009E2E63"/>
    <w:rsid w:val="009E3E45"/>
    <w:rsid w:val="009E716C"/>
    <w:rsid w:val="009E7B65"/>
    <w:rsid w:val="009E7C55"/>
    <w:rsid w:val="009F1A67"/>
    <w:rsid w:val="009F462E"/>
    <w:rsid w:val="009F479A"/>
    <w:rsid w:val="009F4FA8"/>
    <w:rsid w:val="009F4FAC"/>
    <w:rsid w:val="009F63D3"/>
    <w:rsid w:val="00A028DC"/>
    <w:rsid w:val="00A062BE"/>
    <w:rsid w:val="00A06C79"/>
    <w:rsid w:val="00A070BA"/>
    <w:rsid w:val="00A10BB6"/>
    <w:rsid w:val="00A12E1A"/>
    <w:rsid w:val="00A16A70"/>
    <w:rsid w:val="00A206EB"/>
    <w:rsid w:val="00A21FF8"/>
    <w:rsid w:val="00A23B2F"/>
    <w:rsid w:val="00A24E7F"/>
    <w:rsid w:val="00A26A82"/>
    <w:rsid w:val="00A3123F"/>
    <w:rsid w:val="00A31617"/>
    <w:rsid w:val="00A31DED"/>
    <w:rsid w:val="00A344AF"/>
    <w:rsid w:val="00A356DE"/>
    <w:rsid w:val="00A3693E"/>
    <w:rsid w:val="00A376F2"/>
    <w:rsid w:val="00A37E62"/>
    <w:rsid w:val="00A420B1"/>
    <w:rsid w:val="00A442B4"/>
    <w:rsid w:val="00A44FE7"/>
    <w:rsid w:val="00A4610F"/>
    <w:rsid w:val="00A47F0E"/>
    <w:rsid w:val="00A514F2"/>
    <w:rsid w:val="00A53AA0"/>
    <w:rsid w:val="00A54388"/>
    <w:rsid w:val="00A54429"/>
    <w:rsid w:val="00A54DB5"/>
    <w:rsid w:val="00A56923"/>
    <w:rsid w:val="00A62AAC"/>
    <w:rsid w:val="00A65AB1"/>
    <w:rsid w:val="00A73EE1"/>
    <w:rsid w:val="00A75474"/>
    <w:rsid w:val="00A8222B"/>
    <w:rsid w:val="00A94F9C"/>
    <w:rsid w:val="00A96683"/>
    <w:rsid w:val="00AA44FF"/>
    <w:rsid w:val="00AA4D7B"/>
    <w:rsid w:val="00AB0D45"/>
    <w:rsid w:val="00AB1190"/>
    <w:rsid w:val="00AB23DE"/>
    <w:rsid w:val="00AB4AA1"/>
    <w:rsid w:val="00AB6AA7"/>
    <w:rsid w:val="00AB6D2D"/>
    <w:rsid w:val="00AC3FA0"/>
    <w:rsid w:val="00AC5542"/>
    <w:rsid w:val="00AC5E80"/>
    <w:rsid w:val="00AD2887"/>
    <w:rsid w:val="00AD4A1C"/>
    <w:rsid w:val="00AD6848"/>
    <w:rsid w:val="00AE4954"/>
    <w:rsid w:val="00AE6A85"/>
    <w:rsid w:val="00AE6D23"/>
    <w:rsid w:val="00AE7A13"/>
    <w:rsid w:val="00AF1BEC"/>
    <w:rsid w:val="00AF2643"/>
    <w:rsid w:val="00AF32DC"/>
    <w:rsid w:val="00AF4C7C"/>
    <w:rsid w:val="00B00B77"/>
    <w:rsid w:val="00B00E05"/>
    <w:rsid w:val="00B04392"/>
    <w:rsid w:val="00B06CC2"/>
    <w:rsid w:val="00B11152"/>
    <w:rsid w:val="00B11BCD"/>
    <w:rsid w:val="00B125FD"/>
    <w:rsid w:val="00B145EA"/>
    <w:rsid w:val="00B14EC6"/>
    <w:rsid w:val="00B151A2"/>
    <w:rsid w:val="00B17B10"/>
    <w:rsid w:val="00B22632"/>
    <w:rsid w:val="00B26600"/>
    <w:rsid w:val="00B27D79"/>
    <w:rsid w:val="00B37BEF"/>
    <w:rsid w:val="00B425E1"/>
    <w:rsid w:val="00B47365"/>
    <w:rsid w:val="00B4757E"/>
    <w:rsid w:val="00B52462"/>
    <w:rsid w:val="00B526C5"/>
    <w:rsid w:val="00B53049"/>
    <w:rsid w:val="00B53306"/>
    <w:rsid w:val="00B544F9"/>
    <w:rsid w:val="00B54D39"/>
    <w:rsid w:val="00B54DD9"/>
    <w:rsid w:val="00B55B2B"/>
    <w:rsid w:val="00B572BB"/>
    <w:rsid w:val="00B62392"/>
    <w:rsid w:val="00B6309A"/>
    <w:rsid w:val="00B6331F"/>
    <w:rsid w:val="00B7088D"/>
    <w:rsid w:val="00B73777"/>
    <w:rsid w:val="00B752E8"/>
    <w:rsid w:val="00B76660"/>
    <w:rsid w:val="00B778F3"/>
    <w:rsid w:val="00B85A2F"/>
    <w:rsid w:val="00B86655"/>
    <w:rsid w:val="00B903D7"/>
    <w:rsid w:val="00B9080D"/>
    <w:rsid w:val="00B92696"/>
    <w:rsid w:val="00B953BC"/>
    <w:rsid w:val="00B9599C"/>
    <w:rsid w:val="00BA0CAC"/>
    <w:rsid w:val="00BA57CA"/>
    <w:rsid w:val="00BB0170"/>
    <w:rsid w:val="00BB291C"/>
    <w:rsid w:val="00BB43DF"/>
    <w:rsid w:val="00BB481B"/>
    <w:rsid w:val="00BB5A5C"/>
    <w:rsid w:val="00BB7C1C"/>
    <w:rsid w:val="00BC2141"/>
    <w:rsid w:val="00BC3B6A"/>
    <w:rsid w:val="00BD0C07"/>
    <w:rsid w:val="00BD0F15"/>
    <w:rsid w:val="00BD25D3"/>
    <w:rsid w:val="00BD7301"/>
    <w:rsid w:val="00BE4C35"/>
    <w:rsid w:val="00BF1F1D"/>
    <w:rsid w:val="00BF2D10"/>
    <w:rsid w:val="00BF36F9"/>
    <w:rsid w:val="00BF3FCB"/>
    <w:rsid w:val="00BF571A"/>
    <w:rsid w:val="00BF618F"/>
    <w:rsid w:val="00BF7D1D"/>
    <w:rsid w:val="00C0373E"/>
    <w:rsid w:val="00C04664"/>
    <w:rsid w:val="00C06840"/>
    <w:rsid w:val="00C068C5"/>
    <w:rsid w:val="00C10B31"/>
    <w:rsid w:val="00C12829"/>
    <w:rsid w:val="00C15C7F"/>
    <w:rsid w:val="00C15D5C"/>
    <w:rsid w:val="00C16F6B"/>
    <w:rsid w:val="00C176B5"/>
    <w:rsid w:val="00C2360C"/>
    <w:rsid w:val="00C23BED"/>
    <w:rsid w:val="00C26C50"/>
    <w:rsid w:val="00C27CAD"/>
    <w:rsid w:val="00C3156F"/>
    <w:rsid w:val="00C37166"/>
    <w:rsid w:val="00C378ED"/>
    <w:rsid w:val="00C37D72"/>
    <w:rsid w:val="00C45649"/>
    <w:rsid w:val="00C45F9C"/>
    <w:rsid w:val="00C4620B"/>
    <w:rsid w:val="00C468FD"/>
    <w:rsid w:val="00C53A45"/>
    <w:rsid w:val="00C55B9F"/>
    <w:rsid w:val="00C573B8"/>
    <w:rsid w:val="00C57A30"/>
    <w:rsid w:val="00C6479D"/>
    <w:rsid w:val="00C72ECC"/>
    <w:rsid w:val="00C77551"/>
    <w:rsid w:val="00C85132"/>
    <w:rsid w:val="00C87CFF"/>
    <w:rsid w:val="00C91272"/>
    <w:rsid w:val="00C9233A"/>
    <w:rsid w:val="00CA1FD6"/>
    <w:rsid w:val="00CB0E02"/>
    <w:rsid w:val="00CB20B7"/>
    <w:rsid w:val="00CC2A56"/>
    <w:rsid w:val="00CC32A2"/>
    <w:rsid w:val="00CC5FB0"/>
    <w:rsid w:val="00CD5838"/>
    <w:rsid w:val="00CD7045"/>
    <w:rsid w:val="00CE18EB"/>
    <w:rsid w:val="00CE7609"/>
    <w:rsid w:val="00CE7E5E"/>
    <w:rsid w:val="00CF4BCF"/>
    <w:rsid w:val="00CF5155"/>
    <w:rsid w:val="00CF6ED0"/>
    <w:rsid w:val="00D0099E"/>
    <w:rsid w:val="00D03ECB"/>
    <w:rsid w:val="00D063C8"/>
    <w:rsid w:val="00D1138E"/>
    <w:rsid w:val="00D15C81"/>
    <w:rsid w:val="00D22B35"/>
    <w:rsid w:val="00D24425"/>
    <w:rsid w:val="00D24B6A"/>
    <w:rsid w:val="00D306DA"/>
    <w:rsid w:val="00D3278E"/>
    <w:rsid w:val="00D40BD4"/>
    <w:rsid w:val="00D47FAE"/>
    <w:rsid w:val="00D54A3A"/>
    <w:rsid w:val="00D552FF"/>
    <w:rsid w:val="00D6235C"/>
    <w:rsid w:val="00D64DBA"/>
    <w:rsid w:val="00D75503"/>
    <w:rsid w:val="00D75AB4"/>
    <w:rsid w:val="00D77509"/>
    <w:rsid w:val="00D81C03"/>
    <w:rsid w:val="00D83A5E"/>
    <w:rsid w:val="00D923AA"/>
    <w:rsid w:val="00D926D0"/>
    <w:rsid w:val="00D9712F"/>
    <w:rsid w:val="00DA4048"/>
    <w:rsid w:val="00DA426A"/>
    <w:rsid w:val="00DA56A8"/>
    <w:rsid w:val="00DA685B"/>
    <w:rsid w:val="00DA78F2"/>
    <w:rsid w:val="00DA7A69"/>
    <w:rsid w:val="00DB0EE7"/>
    <w:rsid w:val="00DB2D1F"/>
    <w:rsid w:val="00DC2431"/>
    <w:rsid w:val="00DC399A"/>
    <w:rsid w:val="00DC4605"/>
    <w:rsid w:val="00DC6610"/>
    <w:rsid w:val="00DC6B3E"/>
    <w:rsid w:val="00DC77EE"/>
    <w:rsid w:val="00DD09A5"/>
    <w:rsid w:val="00DD0A43"/>
    <w:rsid w:val="00DD1591"/>
    <w:rsid w:val="00DD38CC"/>
    <w:rsid w:val="00DD727D"/>
    <w:rsid w:val="00DE0190"/>
    <w:rsid w:val="00DE036F"/>
    <w:rsid w:val="00DE0427"/>
    <w:rsid w:val="00DE33C3"/>
    <w:rsid w:val="00DE4A31"/>
    <w:rsid w:val="00DF22C2"/>
    <w:rsid w:val="00DF463C"/>
    <w:rsid w:val="00DF5022"/>
    <w:rsid w:val="00DF66CF"/>
    <w:rsid w:val="00DF7A61"/>
    <w:rsid w:val="00E00FAB"/>
    <w:rsid w:val="00E02D31"/>
    <w:rsid w:val="00E02EF6"/>
    <w:rsid w:val="00E0368E"/>
    <w:rsid w:val="00E043D6"/>
    <w:rsid w:val="00E20205"/>
    <w:rsid w:val="00E207CA"/>
    <w:rsid w:val="00E2214B"/>
    <w:rsid w:val="00E26959"/>
    <w:rsid w:val="00E33746"/>
    <w:rsid w:val="00E36D67"/>
    <w:rsid w:val="00E37564"/>
    <w:rsid w:val="00E40772"/>
    <w:rsid w:val="00E418B8"/>
    <w:rsid w:val="00E43720"/>
    <w:rsid w:val="00E44110"/>
    <w:rsid w:val="00E522D2"/>
    <w:rsid w:val="00E56433"/>
    <w:rsid w:val="00E57CEE"/>
    <w:rsid w:val="00E613FA"/>
    <w:rsid w:val="00E63DB8"/>
    <w:rsid w:val="00E649DC"/>
    <w:rsid w:val="00E673A6"/>
    <w:rsid w:val="00E679CB"/>
    <w:rsid w:val="00E70536"/>
    <w:rsid w:val="00E706A4"/>
    <w:rsid w:val="00E716E1"/>
    <w:rsid w:val="00E7222A"/>
    <w:rsid w:val="00E73370"/>
    <w:rsid w:val="00E770CA"/>
    <w:rsid w:val="00E77C2A"/>
    <w:rsid w:val="00E80859"/>
    <w:rsid w:val="00E81819"/>
    <w:rsid w:val="00E81BDD"/>
    <w:rsid w:val="00E8696F"/>
    <w:rsid w:val="00E908FA"/>
    <w:rsid w:val="00E90CB4"/>
    <w:rsid w:val="00E921BA"/>
    <w:rsid w:val="00E93F77"/>
    <w:rsid w:val="00E94441"/>
    <w:rsid w:val="00E94B59"/>
    <w:rsid w:val="00E94F1B"/>
    <w:rsid w:val="00E97B51"/>
    <w:rsid w:val="00EA0A23"/>
    <w:rsid w:val="00EA3A25"/>
    <w:rsid w:val="00EA5951"/>
    <w:rsid w:val="00EB3E92"/>
    <w:rsid w:val="00EB4FA7"/>
    <w:rsid w:val="00EC0059"/>
    <w:rsid w:val="00EC212C"/>
    <w:rsid w:val="00EC6651"/>
    <w:rsid w:val="00EC7806"/>
    <w:rsid w:val="00ED1525"/>
    <w:rsid w:val="00ED29F1"/>
    <w:rsid w:val="00ED316F"/>
    <w:rsid w:val="00ED33F0"/>
    <w:rsid w:val="00ED44A9"/>
    <w:rsid w:val="00EE3013"/>
    <w:rsid w:val="00EE595B"/>
    <w:rsid w:val="00EE799F"/>
    <w:rsid w:val="00EF06D9"/>
    <w:rsid w:val="00EF6DF0"/>
    <w:rsid w:val="00EF754B"/>
    <w:rsid w:val="00F05FEF"/>
    <w:rsid w:val="00F068DD"/>
    <w:rsid w:val="00F06902"/>
    <w:rsid w:val="00F12CE6"/>
    <w:rsid w:val="00F13374"/>
    <w:rsid w:val="00F15111"/>
    <w:rsid w:val="00F15A3D"/>
    <w:rsid w:val="00F16B8A"/>
    <w:rsid w:val="00F20D18"/>
    <w:rsid w:val="00F23CF0"/>
    <w:rsid w:val="00F251C2"/>
    <w:rsid w:val="00F30B69"/>
    <w:rsid w:val="00F329A3"/>
    <w:rsid w:val="00F32A44"/>
    <w:rsid w:val="00F36CC0"/>
    <w:rsid w:val="00F37ECB"/>
    <w:rsid w:val="00F43668"/>
    <w:rsid w:val="00F473B7"/>
    <w:rsid w:val="00F52A99"/>
    <w:rsid w:val="00F54F90"/>
    <w:rsid w:val="00F552F9"/>
    <w:rsid w:val="00F62572"/>
    <w:rsid w:val="00F634DB"/>
    <w:rsid w:val="00F63AE4"/>
    <w:rsid w:val="00F656B4"/>
    <w:rsid w:val="00F76EA8"/>
    <w:rsid w:val="00F7718D"/>
    <w:rsid w:val="00F80699"/>
    <w:rsid w:val="00F808F3"/>
    <w:rsid w:val="00F80CA8"/>
    <w:rsid w:val="00F8474E"/>
    <w:rsid w:val="00F86E22"/>
    <w:rsid w:val="00F903F8"/>
    <w:rsid w:val="00F9099E"/>
    <w:rsid w:val="00F90E2F"/>
    <w:rsid w:val="00F9317D"/>
    <w:rsid w:val="00F951E8"/>
    <w:rsid w:val="00F96D1C"/>
    <w:rsid w:val="00FA112C"/>
    <w:rsid w:val="00FA1767"/>
    <w:rsid w:val="00FB04D0"/>
    <w:rsid w:val="00FB30E4"/>
    <w:rsid w:val="00FB49F7"/>
    <w:rsid w:val="00FB5374"/>
    <w:rsid w:val="00FB57F5"/>
    <w:rsid w:val="00FC1838"/>
    <w:rsid w:val="00FC4385"/>
    <w:rsid w:val="00FC7614"/>
    <w:rsid w:val="00FC7739"/>
    <w:rsid w:val="00FD11D8"/>
    <w:rsid w:val="00FD131E"/>
    <w:rsid w:val="00FD136D"/>
    <w:rsid w:val="00FD46A3"/>
    <w:rsid w:val="00FD576B"/>
    <w:rsid w:val="00FD6267"/>
    <w:rsid w:val="00FD7A73"/>
    <w:rsid w:val="00FE0485"/>
    <w:rsid w:val="00FE2609"/>
    <w:rsid w:val="00FE2F79"/>
    <w:rsid w:val="00FE3A9C"/>
    <w:rsid w:val="00FE4EE9"/>
    <w:rsid w:val="00FE54DF"/>
    <w:rsid w:val="00FF01C6"/>
    <w:rsid w:val="00FF06E0"/>
    <w:rsid w:val="00FF3452"/>
    <w:rsid w:val="00FF3DE7"/>
    <w:rsid w:val="00FF65C5"/>
    <w:rsid w:val="00FF7671"/>
    <w:rsid w:val="00FF7AEC"/>
    <w:rsid w:val="00FF7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E192EBB"/>
  <w15:chartTrackingRefBased/>
  <w15:docId w15:val="{05ED7D68-9621-4ED9-A51F-EFAADF7A9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25"/>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390267"/>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390267"/>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semiHidden/>
    <w:unhideWhenUsed/>
    <w:qFormat/>
    <w:rsid w:val="0039026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390267"/>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semiHidden/>
    <w:unhideWhenUsed/>
    <w:qFormat/>
    <w:rsid w:val="00390267"/>
    <w:pPr>
      <w:numPr>
        <w:ilvl w:val="4"/>
      </w:numPr>
      <w:outlineLvl w:val="4"/>
    </w:pPr>
    <w:rPr>
      <w:sz w:val="22"/>
    </w:rPr>
  </w:style>
  <w:style w:type="paragraph" w:styleId="Heading6">
    <w:name w:val="heading 6"/>
    <w:basedOn w:val="Normal"/>
    <w:next w:val="Normal"/>
    <w:link w:val="Heading6Char"/>
    <w:semiHidden/>
    <w:unhideWhenUsed/>
    <w:qFormat/>
    <w:rsid w:val="00390267"/>
    <w:pPr>
      <w:keepNext/>
      <w:keepLines/>
      <w:numPr>
        <w:ilvl w:val="5"/>
        <w:numId w:val="1"/>
      </w:numPr>
      <w:tabs>
        <w:tab w:val="clear" w:pos="1152"/>
      </w:tabs>
      <w:spacing w:before="40" w:after="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390267"/>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iPriority w:val="99"/>
    <w:semiHidden/>
    <w:unhideWhenUsed/>
    <w:qFormat/>
    <w:rsid w:val="00390267"/>
    <w:pPr>
      <w:numPr>
        <w:ilvl w:val="7"/>
        <w:numId w:val="1"/>
      </w:numPr>
      <w:outlineLvl w:val="7"/>
    </w:pPr>
  </w:style>
  <w:style w:type="paragraph" w:styleId="Heading9">
    <w:name w:val="heading 9"/>
    <w:basedOn w:val="Heading8"/>
    <w:next w:val="Normal"/>
    <w:link w:val="Heading9Char"/>
    <w:uiPriority w:val="99"/>
    <w:semiHidden/>
    <w:unhideWhenUsed/>
    <w:qFormat/>
    <w:rsid w:val="0039026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0267"/>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390267"/>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semiHidden/>
    <w:rsid w:val="00390267"/>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390267"/>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semiHidden/>
    <w:rsid w:val="00390267"/>
    <w:rPr>
      <w:rFonts w:ascii="Arial" w:eastAsia="Malgun Gothic" w:hAnsi="Arial" w:cs="Times New Roman"/>
      <w:szCs w:val="20"/>
      <w:lang w:val="en-GB" w:eastAsia="x-none"/>
    </w:rPr>
  </w:style>
  <w:style w:type="character" w:customStyle="1" w:styleId="Heading6Char">
    <w:name w:val="Heading 6 Char"/>
    <w:basedOn w:val="DefaultParagraphFont"/>
    <w:link w:val="Heading6"/>
    <w:semiHidden/>
    <w:rsid w:val="00390267"/>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semiHidden/>
    <w:rsid w:val="00390267"/>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uiPriority w:val="99"/>
    <w:semiHidden/>
    <w:rsid w:val="00390267"/>
    <w:rPr>
      <w:rFonts w:ascii="Arial" w:eastAsia="Malgun Gothic" w:hAnsi="Arial" w:cs="Times New Roman"/>
      <w:sz w:val="36"/>
      <w:szCs w:val="20"/>
      <w:lang w:val="en-GB"/>
    </w:rPr>
  </w:style>
  <w:style w:type="character" w:customStyle="1" w:styleId="Heading9Char">
    <w:name w:val="Heading 9 Char"/>
    <w:basedOn w:val="DefaultParagraphFont"/>
    <w:link w:val="Heading9"/>
    <w:uiPriority w:val="99"/>
    <w:semiHidden/>
    <w:rsid w:val="00390267"/>
    <w:rPr>
      <w:rFonts w:ascii="Arial" w:eastAsia="Malgun Gothic" w:hAnsi="Arial" w:cs="Times New Roman"/>
      <w:sz w:val="36"/>
      <w:szCs w:val="20"/>
      <w:lang w:val="en-GB"/>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列表段落11"/>
    <w:basedOn w:val="Normal"/>
    <w:link w:val="ListParagraphChar"/>
    <w:uiPriority w:val="34"/>
    <w:qFormat/>
    <w:rsid w:val="00390267"/>
    <w:pPr>
      <w:ind w:left="720"/>
      <w:contextualSpacing/>
    </w:pPr>
  </w:style>
  <w:style w:type="paragraph" w:customStyle="1" w:styleId="TF">
    <w:name w:val="TF"/>
    <w:basedOn w:val="Normal"/>
    <w:link w:val="TFChar"/>
    <w:rsid w:val="00390267"/>
    <w:pPr>
      <w:keepLines/>
      <w:spacing w:after="240"/>
      <w:jc w:val="center"/>
    </w:pPr>
    <w:rPr>
      <w:rFonts w:ascii="Arial" w:eastAsia="SimSun" w:hAnsi="Arial"/>
      <w:b/>
    </w:rPr>
  </w:style>
  <w:style w:type="character" w:customStyle="1" w:styleId="TFChar">
    <w:name w:val="TF Char"/>
    <w:link w:val="TF"/>
    <w:qFormat/>
    <w:rsid w:val="00390267"/>
    <w:rPr>
      <w:rFonts w:ascii="Arial" w:eastAsia="SimSun" w:hAnsi="Arial" w:cs="Times New Roman"/>
      <w:b/>
      <w:sz w:val="20"/>
      <w:szCs w:val="20"/>
      <w:lang w:val="en-GB"/>
    </w:rPr>
  </w:style>
  <w:style w:type="table" w:styleId="TableGrid">
    <w:name w:val="Table Grid"/>
    <w:basedOn w:val="TableNormal"/>
    <w:uiPriority w:val="39"/>
    <w:rsid w:val="003902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90267"/>
    <w:pPr>
      <w:spacing w:before="100" w:beforeAutospacing="1" w:after="100" w:afterAutospacing="1"/>
    </w:pPr>
    <w:rPr>
      <w:rFonts w:eastAsia="Times New Roman"/>
      <w:sz w:val="24"/>
      <w:szCs w:val="24"/>
      <w:lang w:val="en-US"/>
    </w:rPr>
  </w:style>
  <w:style w:type="paragraph" w:customStyle="1" w:styleId="TAL">
    <w:name w:val="TAL"/>
    <w:basedOn w:val="Normal"/>
    <w:link w:val="TALCar"/>
    <w:qFormat/>
    <w:rsid w:val="00390267"/>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link w:val="TAL"/>
    <w:locked/>
    <w:rsid w:val="00390267"/>
    <w:rPr>
      <w:rFonts w:ascii="Arial" w:eastAsia="Times New Roman" w:hAnsi="Arial" w:cs="Times New Roman"/>
      <w:sz w:val="18"/>
      <w:szCs w:val="20"/>
      <w:lang w:val="en-GB"/>
    </w:rPr>
  </w:style>
  <w:style w:type="paragraph" w:customStyle="1" w:styleId="TH">
    <w:name w:val="TH"/>
    <w:basedOn w:val="Normal"/>
    <w:link w:val="THChar"/>
    <w:rsid w:val="0039026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locked/>
    <w:rsid w:val="00390267"/>
    <w:rPr>
      <w:rFonts w:ascii="Arial" w:eastAsia="Times New Roman" w:hAnsi="Arial" w:cs="Times New Roman"/>
      <w:b/>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390267"/>
    <w:rPr>
      <w:rFonts w:ascii="Times New Roman" w:eastAsia="Malgun Gothic" w:hAnsi="Times New Roman" w:cs="Times New Roman"/>
      <w:sz w:val="20"/>
      <w:szCs w:val="20"/>
      <w:lang w:val="en-GB"/>
    </w:rPr>
  </w:style>
  <w:style w:type="character" w:customStyle="1" w:styleId="TALChar">
    <w:name w:val="TAL Char"/>
    <w:qFormat/>
    <w:rsid w:val="00487E3A"/>
    <w:rPr>
      <w:rFonts w:ascii="Arial" w:hAnsi="Arial"/>
      <w:sz w:val="18"/>
      <w:lang w:val="en-GB" w:eastAsia="en-GB"/>
    </w:rPr>
  </w:style>
  <w:style w:type="paragraph" w:customStyle="1" w:styleId="TAH">
    <w:name w:val="TAH"/>
    <w:basedOn w:val="Normal"/>
    <w:link w:val="TAHChar"/>
    <w:rsid w:val="00487E3A"/>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har">
    <w:name w:val="TAH Char"/>
    <w:link w:val="TAH"/>
    <w:qFormat/>
    <w:rsid w:val="00487E3A"/>
    <w:rPr>
      <w:rFonts w:ascii="Arial" w:eastAsia="Times New Roman" w:hAnsi="Arial" w:cs="Times New Roman"/>
      <w:b/>
      <w:sz w:val="18"/>
      <w:szCs w:val="20"/>
      <w:lang w:val="en-GB" w:eastAsia="en-GB"/>
    </w:rPr>
  </w:style>
  <w:style w:type="paragraph" w:styleId="BalloonText">
    <w:name w:val="Balloon Text"/>
    <w:basedOn w:val="Normal"/>
    <w:link w:val="BalloonTextChar"/>
    <w:uiPriority w:val="99"/>
    <w:semiHidden/>
    <w:unhideWhenUsed/>
    <w:rsid w:val="00030D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0DC4"/>
    <w:rPr>
      <w:rFonts w:ascii="Segoe UI" w:eastAsia="Malgun Gothic" w:hAnsi="Segoe UI" w:cs="Segoe UI"/>
      <w:sz w:val="18"/>
      <w:szCs w:val="18"/>
      <w:lang w:val="en-GB"/>
    </w:rPr>
  </w:style>
  <w:style w:type="paragraph" w:customStyle="1" w:styleId="B1">
    <w:name w:val="B1"/>
    <w:basedOn w:val="List"/>
    <w:link w:val="B1Char"/>
    <w:qFormat/>
    <w:rsid w:val="00296442"/>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29644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96442"/>
    <w:pPr>
      <w:ind w:left="360" w:hanging="360"/>
      <w:contextualSpacing/>
    </w:pPr>
  </w:style>
  <w:style w:type="character" w:customStyle="1" w:styleId="s2">
    <w:name w:val="s2"/>
    <w:rsid w:val="00FD7A73"/>
  </w:style>
  <w:style w:type="paragraph" w:styleId="Header">
    <w:name w:val="header"/>
    <w:basedOn w:val="Normal"/>
    <w:link w:val="HeaderChar"/>
    <w:uiPriority w:val="99"/>
    <w:unhideWhenUsed/>
    <w:rsid w:val="006241E5"/>
    <w:pPr>
      <w:tabs>
        <w:tab w:val="center" w:pos="4680"/>
        <w:tab w:val="right" w:pos="9360"/>
      </w:tabs>
      <w:spacing w:after="0"/>
    </w:pPr>
  </w:style>
  <w:style w:type="character" w:customStyle="1" w:styleId="HeaderChar">
    <w:name w:val="Header Char"/>
    <w:basedOn w:val="DefaultParagraphFont"/>
    <w:link w:val="Header"/>
    <w:uiPriority w:val="99"/>
    <w:rsid w:val="006241E5"/>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6241E5"/>
    <w:pPr>
      <w:tabs>
        <w:tab w:val="center" w:pos="4680"/>
        <w:tab w:val="right" w:pos="9360"/>
      </w:tabs>
      <w:spacing w:after="0"/>
    </w:pPr>
  </w:style>
  <w:style w:type="character" w:customStyle="1" w:styleId="FooterChar">
    <w:name w:val="Footer Char"/>
    <w:basedOn w:val="DefaultParagraphFont"/>
    <w:link w:val="Footer"/>
    <w:uiPriority w:val="99"/>
    <w:rsid w:val="006241E5"/>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9404">
      <w:bodyDiv w:val="1"/>
      <w:marLeft w:val="0"/>
      <w:marRight w:val="0"/>
      <w:marTop w:val="0"/>
      <w:marBottom w:val="0"/>
      <w:divBdr>
        <w:top w:val="none" w:sz="0" w:space="0" w:color="auto"/>
        <w:left w:val="none" w:sz="0" w:space="0" w:color="auto"/>
        <w:bottom w:val="none" w:sz="0" w:space="0" w:color="auto"/>
        <w:right w:val="none" w:sz="0" w:space="0" w:color="auto"/>
      </w:divBdr>
      <w:divsChild>
        <w:div w:id="2010480639">
          <w:marLeft w:val="1800"/>
          <w:marRight w:val="0"/>
          <w:marTop w:val="77"/>
          <w:marBottom w:val="0"/>
          <w:divBdr>
            <w:top w:val="none" w:sz="0" w:space="0" w:color="auto"/>
            <w:left w:val="none" w:sz="0" w:space="0" w:color="auto"/>
            <w:bottom w:val="none" w:sz="0" w:space="0" w:color="auto"/>
            <w:right w:val="none" w:sz="0" w:space="0" w:color="auto"/>
          </w:divBdr>
        </w:div>
        <w:div w:id="2049527254">
          <w:marLeft w:val="2520"/>
          <w:marRight w:val="0"/>
          <w:marTop w:val="77"/>
          <w:marBottom w:val="0"/>
          <w:divBdr>
            <w:top w:val="none" w:sz="0" w:space="0" w:color="auto"/>
            <w:left w:val="none" w:sz="0" w:space="0" w:color="auto"/>
            <w:bottom w:val="none" w:sz="0" w:space="0" w:color="auto"/>
            <w:right w:val="none" w:sz="0" w:space="0" w:color="auto"/>
          </w:divBdr>
        </w:div>
        <w:div w:id="768696256">
          <w:marLeft w:val="2520"/>
          <w:marRight w:val="0"/>
          <w:marTop w:val="77"/>
          <w:marBottom w:val="0"/>
          <w:divBdr>
            <w:top w:val="none" w:sz="0" w:space="0" w:color="auto"/>
            <w:left w:val="none" w:sz="0" w:space="0" w:color="auto"/>
            <w:bottom w:val="none" w:sz="0" w:space="0" w:color="auto"/>
            <w:right w:val="none" w:sz="0" w:space="0" w:color="auto"/>
          </w:divBdr>
        </w:div>
        <w:div w:id="33388770">
          <w:marLeft w:val="2520"/>
          <w:marRight w:val="0"/>
          <w:marTop w:val="77"/>
          <w:marBottom w:val="0"/>
          <w:divBdr>
            <w:top w:val="none" w:sz="0" w:space="0" w:color="auto"/>
            <w:left w:val="none" w:sz="0" w:space="0" w:color="auto"/>
            <w:bottom w:val="none" w:sz="0" w:space="0" w:color="auto"/>
            <w:right w:val="none" w:sz="0" w:space="0" w:color="auto"/>
          </w:divBdr>
        </w:div>
        <w:div w:id="759832798">
          <w:marLeft w:val="2520"/>
          <w:marRight w:val="0"/>
          <w:marTop w:val="77"/>
          <w:marBottom w:val="0"/>
          <w:divBdr>
            <w:top w:val="none" w:sz="0" w:space="0" w:color="auto"/>
            <w:left w:val="none" w:sz="0" w:space="0" w:color="auto"/>
            <w:bottom w:val="none" w:sz="0" w:space="0" w:color="auto"/>
            <w:right w:val="none" w:sz="0" w:space="0" w:color="auto"/>
          </w:divBdr>
        </w:div>
      </w:divsChild>
    </w:div>
    <w:div w:id="117841404">
      <w:bodyDiv w:val="1"/>
      <w:marLeft w:val="0"/>
      <w:marRight w:val="0"/>
      <w:marTop w:val="0"/>
      <w:marBottom w:val="0"/>
      <w:divBdr>
        <w:top w:val="none" w:sz="0" w:space="0" w:color="auto"/>
        <w:left w:val="none" w:sz="0" w:space="0" w:color="auto"/>
        <w:bottom w:val="none" w:sz="0" w:space="0" w:color="auto"/>
        <w:right w:val="none" w:sz="0" w:space="0" w:color="auto"/>
      </w:divBdr>
    </w:div>
    <w:div w:id="236092600">
      <w:bodyDiv w:val="1"/>
      <w:marLeft w:val="0"/>
      <w:marRight w:val="0"/>
      <w:marTop w:val="0"/>
      <w:marBottom w:val="0"/>
      <w:divBdr>
        <w:top w:val="none" w:sz="0" w:space="0" w:color="auto"/>
        <w:left w:val="none" w:sz="0" w:space="0" w:color="auto"/>
        <w:bottom w:val="none" w:sz="0" w:space="0" w:color="auto"/>
        <w:right w:val="none" w:sz="0" w:space="0" w:color="auto"/>
      </w:divBdr>
      <w:divsChild>
        <w:div w:id="1122964305">
          <w:marLeft w:val="1166"/>
          <w:marRight w:val="0"/>
          <w:marTop w:val="86"/>
          <w:marBottom w:val="0"/>
          <w:divBdr>
            <w:top w:val="none" w:sz="0" w:space="0" w:color="auto"/>
            <w:left w:val="none" w:sz="0" w:space="0" w:color="auto"/>
            <w:bottom w:val="none" w:sz="0" w:space="0" w:color="auto"/>
            <w:right w:val="none" w:sz="0" w:space="0" w:color="auto"/>
          </w:divBdr>
        </w:div>
        <w:div w:id="922297625">
          <w:marLeft w:val="1166"/>
          <w:marRight w:val="0"/>
          <w:marTop w:val="86"/>
          <w:marBottom w:val="0"/>
          <w:divBdr>
            <w:top w:val="none" w:sz="0" w:space="0" w:color="auto"/>
            <w:left w:val="none" w:sz="0" w:space="0" w:color="auto"/>
            <w:bottom w:val="none" w:sz="0" w:space="0" w:color="auto"/>
            <w:right w:val="none" w:sz="0" w:space="0" w:color="auto"/>
          </w:divBdr>
        </w:div>
        <w:div w:id="1648778948">
          <w:marLeft w:val="1166"/>
          <w:marRight w:val="0"/>
          <w:marTop w:val="86"/>
          <w:marBottom w:val="0"/>
          <w:divBdr>
            <w:top w:val="none" w:sz="0" w:space="0" w:color="auto"/>
            <w:left w:val="none" w:sz="0" w:space="0" w:color="auto"/>
            <w:bottom w:val="none" w:sz="0" w:space="0" w:color="auto"/>
            <w:right w:val="none" w:sz="0" w:space="0" w:color="auto"/>
          </w:divBdr>
        </w:div>
        <w:div w:id="1358238049">
          <w:marLeft w:val="1166"/>
          <w:marRight w:val="0"/>
          <w:marTop w:val="86"/>
          <w:marBottom w:val="0"/>
          <w:divBdr>
            <w:top w:val="none" w:sz="0" w:space="0" w:color="auto"/>
            <w:left w:val="none" w:sz="0" w:space="0" w:color="auto"/>
            <w:bottom w:val="none" w:sz="0" w:space="0" w:color="auto"/>
            <w:right w:val="none" w:sz="0" w:space="0" w:color="auto"/>
          </w:divBdr>
        </w:div>
        <w:div w:id="1171066826">
          <w:marLeft w:val="1166"/>
          <w:marRight w:val="0"/>
          <w:marTop w:val="86"/>
          <w:marBottom w:val="0"/>
          <w:divBdr>
            <w:top w:val="none" w:sz="0" w:space="0" w:color="auto"/>
            <w:left w:val="none" w:sz="0" w:space="0" w:color="auto"/>
            <w:bottom w:val="none" w:sz="0" w:space="0" w:color="auto"/>
            <w:right w:val="none" w:sz="0" w:space="0" w:color="auto"/>
          </w:divBdr>
        </w:div>
        <w:div w:id="417482238">
          <w:marLeft w:val="1800"/>
          <w:marRight w:val="0"/>
          <w:marTop w:val="77"/>
          <w:marBottom w:val="0"/>
          <w:divBdr>
            <w:top w:val="none" w:sz="0" w:space="0" w:color="auto"/>
            <w:left w:val="none" w:sz="0" w:space="0" w:color="auto"/>
            <w:bottom w:val="none" w:sz="0" w:space="0" w:color="auto"/>
            <w:right w:val="none" w:sz="0" w:space="0" w:color="auto"/>
          </w:divBdr>
        </w:div>
        <w:div w:id="1298686989">
          <w:marLeft w:val="2520"/>
          <w:marRight w:val="0"/>
          <w:marTop w:val="77"/>
          <w:marBottom w:val="0"/>
          <w:divBdr>
            <w:top w:val="none" w:sz="0" w:space="0" w:color="auto"/>
            <w:left w:val="none" w:sz="0" w:space="0" w:color="auto"/>
            <w:bottom w:val="none" w:sz="0" w:space="0" w:color="auto"/>
            <w:right w:val="none" w:sz="0" w:space="0" w:color="auto"/>
          </w:divBdr>
        </w:div>
        <w:div w:id="1030763824">
          <w:marLeft w:val="2520"/>
          <w:marRight w:val="0"/>
          <w:marTop w:val="77"/>
          <w:marBottom w:val="0"/>
          <w:divBdr>
            <w:top w:val="none" w:sz="0" w:space="0" w:color="auto"/>
            <w:left w:val="none" w:sz="0" w:space="0" w:color="auto"/>
            <w:bottom w:val="none" w:sz="0" w:space="0" w:color="auto"/>
            <w:right w:val="none" w:sz="0" w:space="0" w:color="auto"/>
          </w:divBdr>
        </w:div>
      </w:divsChild>
    </w:div>
    <w:div w:id="391587107">
      <w:bodyDiv w:val="1"/>
      <w:marLeft w:val="0"/>
      <w:marRight w:val="0"/>
      <w:marTop w:val="0"/>
      <w:marBottom w:val="0"/>
      <w:divBdr>
        <w:top w:val="none" w:sz="0" w:space="0" w:color="auto"/>
        <w:left w:val="none" w:sz="0" w:space="0" w:color="auto"/>
        <w:bottom w:val="none" w:sz="0" w:space="0" w:color="auto"/>
        <w:right w:val="none" w:sz="0" w:space="0" w:color="auto"/>
      </w:divBdr>
    </w:div>
    <w:div w:id="704139254">
      <w:bodyDiv w:val="1"/>
      <w:marLeft w:val="0"/>
      <w:marRight w:val="0"/>
      <w:marTop w:val="0"/>
      <w:marBottom w:val="0"/>
      <w:divBdr>
        <w:top w:val="none" w:sz="0" w:space="0" w:color="auto"/>
        <w:left w:val="none" w:sz="0" w:space="0" w:color="auto"/>
        <w:bottom w:val="none" w:sz="0" w:space="0" w:color="auto"/>
        <w:right w:val="none" w:sz="0" w:space="0" w:color="auto"/>
      </w:divBdr>
    </w:div>
    <w:div w:id="869143876">
      <w:bodyDiv w:val="1"/>
      <w:marLeft w:val="0"/>
      <w:marRight w:val="0"/>
      <w:marTop w:val="0"/>
      <w:marBottom w:val="0"/>
      <w:divBdr>
        <w:top w:val="none" w:sz="0" w:space="0" w:color="auto"/>
        <w:left w:val="none" w:sz="0" w:space="0" w:color="auto"/>
        <w:bottom w:val="none" w:sz="0" w:space="0" w:color="auto"/>
        <w:right w:val="none" w:sz="0" w:space="0" w:color="auto"/>
      </w:divBdr>
    </w:div>
    <w:div w:id="869490551">
      <w:bodyDiv w:val="1"/>
      <w:marLeft w:val="0"/>
      <w:marRight w:val="0"/>
      <w:marTop w:val="0"/>
      <w:marBottom w:val="0"/>
      <w:divBdr>
        <w:top w:val="none" w:sz="0" w:space="0" w:color="auto"/>
        <w:left w:val="none" w:sz="0" w:space="0" w:color="auto"/>
        <w:bottom w:val="none" w:sz="0" w:space="0" w:color="auto"/>
        <w:right w:val="none" w:sz="0" w:space="0" w:color="auto"/>
      </w:divBdr>
    </w:div>
    <w:div w:id="1161851662">
      <w:bodyDiv w:val="1"/>
      <w:marLeft w:val="0"/>
      <w:marRight w:val="0"/>
      <w:marTop w:val="0"/>
      <w:marBottom w:val="0"/>
      <w:divBdr>
        <w:top w:val="none" w:sz="0" w:space="0" w:color="auto"/>
        <w:left w:val="none" w:sz="0" w:space="0" w:color="auto"/>
        <w:bottom w:val="none" w:sz="0" w:space="0" w:color="auto"/>
        <w:right w:val="none" w:sz="0" w:space="0" w:color="auto"/>
      </w:divBdr>
    </w:div>
    <w:div w:id="1177188508">
      <w:bodyDiv w:val="1"/>
      <w:marLeft w:val="0"/>
      <w:marRight w:val="0"/>
      <w:marTop w:val="0"/>
      <w:marBottom w:val="0"/>
      <w:divBdr>
        <w:top w:val="none" w:sz="0" w:space="0" w:color="auto"/>
        <w:left w:val="none" w:sz="0" w:space="0" w:color="auto"/>
        <w:bottom w:val="none" w:sz="0" w:space="0" w:color="auto"/>
        <w:right w:val="none" w:sz="0" w:space="0" w:color="auto"/>
      </w:divBdr>
    </w:div>
    <w:div w:id="1293562049">
      <w:bodyDiv w:val="1"/>
      <w:marLeft w:val="0"/>
      <w:marRight w:val="0"/>
      <w:marTop w:val="0"/>
      <w:marBottom w:val="0"/>
      <w:divBdr>
        <w:top w:val="none" w:sz="0" w:space="0" w:color="auto"/>
        <w:left w:val="none" w:sz="0" w:space="0" w:color="auto"/>
        <w:bottom w:val="none" w:sz="0" w:space="0" w:color="auto"/>
        <w:right w:val="none" w:sz="0" w:space="0" w:color="auto"/>
      </w:divBdr>
    </w:div>
    <w:div w:id="1339120014">
      <w:bodyDiv w:val="1"/>
      <w:marLeft w:val="0"/>
      <w:marRight w:val="0"/>
      <w:marTop w:val="0"/>
      <w:marBottom w:val="0"/>
      <w:divBdr>
        <w:top w:val="none" w:sz="0" w:space="0" w:color="auto"/>
        <w:left w:val="none" w:sz="0" w:space="0" w:color="auto"/>
        <w:bottom w:val="none" w:sz="0" w:space="0" w:color="auto"/>
        <w:right w:val="none" w:sz="0" w:space="0" w:color="auto"/>
      </w:divBdr>
    </w:div>
    <w:div w:id="1453204109">
      <w:bodyDiv w:val="1"/>
      <w:marLeft w:val="0"/>
      <w:marRight w:val="0"/>
      <w:marTop w:val="0"/>
      <w:marBottom w:val="0"/>
      <w:divBdr>
        <w:top w:val="none" w:sz="0" w:space="0" w:color="auto"/>
        <w:left w:val="none" w:sz="0" w:space="0" w:color="auto"/>
        <w:bottom w:val="none" w:sz="0" w:space="0" w:color="auto"/>
        <w:right w:val="none" w:sz="0" w:space="0" w:color="auto"/>
      </w:divBdr>
    </w:div>
    <w:div w:id="1530600701">
      <w:bodyDiv w:val="1"/>
      <w:marLeft w:val="0"/>
      <w:marRight w:val="0"/>
      <w:marTop w:val="0"/>
      <w:marBottom w:val="0"/>
      <w:divBdr>
        <w:top w:val="none" w:sz="0" w:space="0" w:color="auto"/>
        <w:left w:val="none" w:sz="0" w:space="0" w:color="auto"/>
        <w:bottom w:val="none" w:sz="0" w:space="0" w:color="auto"/>
        <w:right w:val="none" w:sz="0" w:space="0" w:color="auto"/>
      </w:divBdr>
      <w:divsChild>
        <w:div w:id="1362824093">
          <w:marLeft w:val="1166"/>
          <w:marRight w:val="0"/>
          <w:marTop w:val="86"/>
          <w:marBottom w:val="0"/>
          <w:divBdr>
            <w:top w:val="none" w:sz="0" w:space="0" w:color="auto"/>
            <w:left w:val="none" w:sz="0" w:space="0" w:color="auto"/>
            <w:bottom w:val="none" w:sz="0" w:space="0" w:color="auto"/>
            <w:right w:val="none" w:sz="0" w:space="0" w:color="auto"/>
          </w:divBdr>
        </w:div>
        <w:div w:id="254048694">
          <w:marLeft w:val="1166"/>
          <w:marRight w:val="0"/>
          <w:marTop w:val="86"/>
          <w:marBottom w:val="0"/>
          <w:divBdr>
            <w:top w:val="none" w:sz="0" w:space="0" w:color="auto"/>
            <w:left w:val="none" w:sz="0" w:space="0" w:color="auto"/>
            <w:bottom w:val="none" w:sz="0" w:space="0" w:color="auto"/>
            <w:right w:val="none" w:sz="0" w:space="0" w:color="auto"/>
          </w:divBdr>
        </w:div>
        <w:div w:id="1270160459">
          <w:marLeft w:val="1166"/>
          <w:marRight w:val="0"/>
          <w:marTop w:val="86"/>
          <w:marBottom w:val="0"/>
          <w:divBdr>
            <w:top w:val="none" w:sz="0" w:space="0" w:color="auto"/>
            <w:left w:val="none" w:sz="0" w:space="0" w:color="auto"/>
            <w:bottom w:val="none" w:sz="0" w:space="0" w:color="auto"/>
            <w:right w:val="none" w:sz="0" w:space="0" w:color="auto"/>
          </w:divBdr>
        </w:div>
        <w:div w:id="1992248066">
          <w:marLeft w:val="1166"/>
          <w:marRight w:val="0"/>
          <w:marTop w:val="86"/>
          <w:marBottom w:val="0"/>
          <w:divBdr>
            <w:top w:val="none" w:sz="0" w:space="0" w:color="auto"/>
            <w:left w:val="none" w:sz="0" w:space="0" w:color="auto"/>
            <w:bottom w:val="none" w:sz="0" w:space="0" w:color="auto"/>
            <w:right w:val="none" w:sz="0" w:space="0" w:color="auto"/>
          </w:divBdr>
        </w:div>
        <w:div w:id="1573419258">
          <w:marLeft w:val="1166"/>
          <w:marRight w:val="0"/>
          <w:marTop w:val="86"/>
          <w:marBottom w:val="0"/>
          <w:divBdr>
            <w:top w:val="none" w:sz="0" w:space="0" w:color="auto"/>
            <w:left w:val="none" w:sz="0" w:space="0" w:color="auto"/>
            <w:bottom w:val="none" w:sz="0" w:space="0" w:color="auto"/>
            <w:right w:val="none" w:sz="0" w:space="0" w:color="auto"/>
          </w:divBdr>
        </w:div>
        <w:div w:id="1492868014">
          <w:marLeft w:val="1800"/>
          <w:marRight w:val="0"/>
          <w:marTop w:val="77"/>
          <w:marBottom w:val="0"/>
          <w:divBdr>
            <w:top w:val="none" w:sz="0" w:space="0" w:color="auto"/>
            <w:left w:val="none" w:sz="0" w:space="0" w:color="auto"/>
            <w:bottom w:val="none" w:sz="0" w:space="0" w:color="auto"/>
            <w:right w:val="none" w:sz="0" w:space="0" w:color="auto"/>
          </w:divBdr>
        </w:div>
        <w:div w:id="2038773513">
          <w:marLeft w:val="2520"/>
          <w:marRight w:val="0"/>
          <w:marTop w:val="77"/>
          <w:marBottom w:val="0"/>
          <w:divBdr>
            <w:top w:val="none" w:sz="0" w:space="0" w:color="auto"/>
            <w:left w:val="none" w:sz="0" w:space="0" w:color="auto"/>
            <w:bottom w:val="none" w:sz="0" w:space="0" w:color="auto"/>
            <w:right w:val="none" w:sz="0" w:space="0" w:color="auto"/>
          </w:divBdr>
        </w:div>
        <w:div w:id="1015694069">
          <w:marLeft w:val="2520"/>
          <w:marRight w:val="0"/>
          <w:marTop w:val="77"/>
          <w:marBottom w:val="0"/>
          <w:divBdr>
            <w:top w:val="none" w:sz="0" w:space="0" w:color="auto"/>
            <w:left w:val="none" w:sz="0" w:space="0" w:color="auto"/>
            <w:bottom w:val="none" w:sz="0" w:space="0" w:color="auto"/>
            <w:right w:val="none" w:sz="0" w:space="0" w:color="auto"/>
          </w:divBdr>
        </w:div>
      </w:divsChild>
    </w:div>
    <w:div w:id="1544829338">
      <w:bodyDiv w:val="1"/>
      <w:marLeft w:val="0"/>
      <w:marRight w:val="0"/>
      <w:marTop w:val="0"/>
      <w:marBottom w:val="0"/>
      <w:divBdr>
        <w:top w:val="none" w:sz="0" w:space="0" w:color="auto"/>
        <w:left w:val="none" w:sz="0" w:space="0" w:color="auto"/>
        <w:bottom w:val="none" w:sz="0" w:space="0" w:color="auto"/>
        <w:right w:val="none" w:sz="0" w:space="0" w:color="auto"/>
      </w:divBdr>
      <w:divsChild>
        <w:div w:id="1481995359">
          <w:marLeft w:val="1166"/>
          <w:marRight w:val="0"/>
          <w:marTop w:val="82"/>
          <w:marBottom w:val="0"/>
          <w:divBdr>
            <w:top w:val="none" w:sz="0" w:space="0" w:color="auto"/>
            <w:left w:val="none" w:sz="0" w:space="0" w:color="auto"/>
            <w:bottom w:val="none" w:sz="0" w:space="0" w:color="auto"/>
            <w:right w:val="none" w:sz="0" w:space="0" w:color="auto"/>
          </w:divBdr>
        </w:div>
        <w:div w:id="94132275">
          <w:marLeft w:val="1800"/>
          <w:marRight w:val="0"/>
          <w:marTop w:val="72"/>
          <w:marBottom w:val="0"/>
          <w:divBdr>
            <w:top w:val="none" w:sz="0" w:space="0" w:color="auto"/>
            <w:left w:val="none" w:sz="0" w:space="0" w:color="auto"/>
            <w:bottom w:val="none" w:sz="0" w:space="0" w:color="auto"/>
            <w:right w:val="none" w:sz="0" w:space="0" w:color="auto"/>
          </w:divBdr>
        </w:div>
        <w:div w:id="785151396">
          <w:marLeft w:val="1800"/>
          <w:marRight w:val="0"/>
          <w:marTop w:val="72"/>
          <w:marBottom w:val="0"/>
          <w:divBdr>
            <w:top w:val="none" w:sz="0" w:space="0" w:color="auto"/>
            <w:left w:val="none" w:sz="0" w:space="0" w:color="auto"/>
            <w:bottom w:val="none" w:sz="0" w:space="0" w:color="auto"/>
            <w:right w:val="none" w:sz="0" w:space="0" w:color="auto"/>
          </w:divBdr>
        </w:div>
        <w:div w:id="544635819">
          <w:marLeft w:val="1800"/>
          <w:marRight w:val="0"/>
          <w:marTop w:val="72"/>
          <w:marBottom w:val="0"/>
          <w:divBdr>
            <w:top w:val="none" w:sz="0" w:space="0" w:color="auto"/>
            <w:left w:val="none" w:sz="0" w:space="0" w:color="auto"/>
            <w:bottom w:val="none" w:sz="0" w:space="0" w:color="auto"/>
            <w:right w:val="none" w:sz="0" w:space="0" w:color="auto"/>
          </w:divBdr>
        </w:div>
        <w:div w:id="1232930005">
          <w:marLeft w:val="1800"/>
          <w:marRight w:val="0"/>
          <w:marTop w:val="72"/>
          <w:marBottom w:val="0"/>
          <w:divBdr>
            <w:top w:val="none" w:sz="0" w:space="0" w:color="auto"/>
            <w:left w:val="none" w:sz="0" w:space="0" w:color="auto"/>
            <w:bottom w:val="none" w:sz="0" w:space="0" w:color="auto"/>
            <w:right w:val="none" w:sz="0" w:space="0" w:color="auto"/>
          </w:divBdr>
        </w:div>
      </w:divsChild>
    </w:div>
    <w:div w:id="1606617742">
      <w:bodyDiv w:val="1"/>
      <w:marLeft w:val="0"/>
      <w:marRight w:val="0"/>
      <w:marTop w:val="0"/>
      <w:marBottom w:val="0"/>
      <w:divBdr>
        <w:top w:val="none" w:sz="0" w:space="0" w:color="auto"/>
        <w:left w:val="none" w:sz="0" w:space="0" w:color="auto"/>
        <w:bottom w:val="none" w:sz="0" w:space="0" w:color="auto"/>
        <w:right w:val="none" w:sz="0" w:space="0" w:color="auto"/>
      </w:divBdr>
      <w:divsChild>
        <w:div w:id="581524085">
          <w:marLeft w:val="1166"/>
          <w:marRight w:val="0"/>
          <w:marTop w:val="86"/>
          <w:marBottom w:val="0"/>
          <w:divBdr>
            <w:top w:val="none" w:sz="0" w:space="0" w:color="auto"/>
            <w:left w:val="none" w:sz="0" w:space="0" w:color="auto"/>
            <w:bottom w:val="none" w:sz="0" w:space="0" w:color="auto"/>
            <w:right w:val="none" w:sz="0" w:space="0" w:color="auto"/>
          </w:divBdr>
        </w:div>
        <w:div w:id="79447538">
          <w:marLeft w:val="1800"/>
          <w:marRight w:val="0"/>
          <w:marTop w:val="77"/>
          <w:marBottom w:val="0"/>
          <w:divBdr>
            <w:top w:val="none" w:sz="0" w:space="0" w:color="auto"/>
            <w:left w:val="none" w:sz="0" w:space="0" w:color="auto"/>
            <w:bottom w:val="none" w:sz="0" w:space="0" w:color="auto"/>
            <w:right w:val="none" w:sz="0" w:space="0" w:color="auto"/>
          </w:divBdr>
        </w:div>
        <w:div w:id="420370614">
          <w:marLeft w:val="1800"/>
          <w:marRight w:val="0"/>
          <w:marTop w:val="77"/>
          <w:marBottom w:val="0"/>
          <w:divBdr>
            <w:top w:val="none" w:sz="0" w:space="0" w:color="auto"/>
            <w:left w:val="none" w:sz="0" w:space="0" w:color="auto"/>
            <w:bottom w:val="none" w:sz="0" w:space="0" w:color="auto"/>
            <w:right w:val="none" w:sz="0" w:space="0" w:color="auto"/>
          </w:divBdr>
        </w:div>
        <w:div w:id="1475172414">
          <w:marLeft w:val="1800"/>
          <w:marRight w:val="0"/>
          <w:marTop w:val="77"/>
          <w:marBottom w:val="0"/>
          <w:divBdr>
            <w:top w:val="none" w:sz="0" w:space="0" w:color="auto"/>
            <w:left w:val="none" w:sz="0" w:space="0" w:color="auto"/>
            <w:bottom w:val="none" w:sz="0" w:space="0" w:color="auto"/>
            <w:right w:val="none" w:sz="0" w:space="0" w:color="auto"/>
          </w:divBdr>
        </w:div>
        <w:div w:id="748503290">
          <w:marLeft w:val="1800"/>
          <w:marRight w:val="0"/>
          <w:marTop w:val="77"/>
          <w:marBottom w:val="0"/>
          <w:divBdr>
            <w:top w:val="none" w:sz="0" w:space="0" w:color="auto"/>
            <w:left w:val="none" w:sz="0" w:space="0" w:color="auto"/>
            <w:bottom w:val="none" w:sz="0" w:space="0" w:color="auto"/>
            <w:right w:val="none" w:sz="0" w:space="0" w:color="auto"/>
          </w:divBdr>
        </w:div>
        <w:div w:id="837496611">
          <w:marLeft w:val="1800"/>
          <w:marRight w:val="0"/>
          <w:marTop w:val="77"/>
          <w:marBottom w:val="0"/>
          <w:divBdr>
            <w:top w:val="none" w:sz="0" w:space="0" w:color="auto"/>
            <w:left w:val="none" w:sz="0" w:space="0" w:color="auto"/>
            <w:bottom w:val="none" w:sz="0" w:space="0" w:color="auto"/>
            <w:right w:val="none" w:sz="0" w:space="0" w:color="auto"/>
          </w:divBdr>
        </w:div>
        <w:div w:id="1104421632">
          <w:marLeft w:val="1800"/>
          <w:marRight w:val="0"/>
          <w:marTop w:val="77"/>
          <w:marBottom w:val="0"/>
          <w:divBdr>
            <w:top w:val="none" w:sz="0" w:space="0" w:color="auto"/>
            <w:left w:val="none" w:sz="0" w:space="0" w:color="auto"/>
            <w:bottom w:val="none" w:sz="0" w:space="0" w:color="auto"/>
            <w:right w:val="none" w:sz="0" w:space="0" w:color="auto"/>
          </w:divBdr>
        </w:div>
        <w:div w:id="2125076670">
          <w:marLeft w:val="1166"/>
          <w:marRight w:val="0"/>
          <w:marTop w:val="86"/>
          <w:marBottom w:val="0"/>
          <w:divBdr>
            <w:top w:val="none" w:sz="0" w:space="0" w:color="auto"/>
            <w:left w:val="none" w:sz="0" w:space="0" w:color="auto"/>
            <w:bottom w:val="none" w:sz="0" w:space="0" w:color="auto"/>
            <w:right w:val="none" w:sz="0" w:space="0" w:color="auto"/>
          </w:divBdr>
        </w:div>
        <w:div w:id="1003244300">
          <w:marLeft w:val="1166"/>
          <w:marRight w:val="0"/>
          <w:marTop w:val="86"/>
          <w:marBottom w:val="0"/>
          <w:divBdr>
            <w:top w:val="none" w:sz="0" w:space="0" w:color="auto"/>
            <w:left w:val="none" w:sz="0" w:space="0" w:color="auto"/>
            <w:bottom w:val="none" w:sz="0" w:space="0" w:color="auto"/>
            <w:right w:val="none" w:sz="0" w:space="0" w:color="auto"/>
          </w:divBdr>
        </w:div>
        <w:div w:id="484053920">
          <w:marLeft w:val="1166"/>
          <w:marRight w:val="0"/>
          <w:marTop w:val="86"/>
          <w:marBottom w:val="0"/>
          <w:divBdr>
            <w:top w:val="none" w:sz="0" w:space="0" w:color="auto"/>
            <w:left w:val="none" w:sz="0" w:space="0" w:color="auto"/>
            <w:bottom w:val="none" w:sz="0" w:space="0" w:color="auto"/>
            <w:right w:val="none" w:sz="0" w:space="0" w:color="auto"/>
          </w:divBdr>
        </w:div>
        <w:div w:id="1902667911">
          <w:marLeft w:val="1166"/>
          <w:marRight w:val="0"/>
          <w:marTop w:val="86"/>
          <w:marBottom w:val="0"/>
          <w:divBdr>
            <w:top w:val="none" w:sz="0" w:space="0" w:color="auto"/>
            <w:left w:val="none" w:sz="0" w:space="0" w:color="auto"/>
            <w:bottom w:val="none" w:sz="0" w:space="0" w:color="auto"/>
            <w:right w:val="none" w:sz="0" w:space="0" w:color="auto"/>
          </w:divBdr>
        </w:div>
        <w:div w:id="1820683090">
          <w:marLeft w:val="1166"/>
          <w:marRight w:val="0"/>
          <w:marTop w:val="86"/>
          <w:marBottom w:val="0"/>
          <w:divBdr>
            <w:top w:val="none" w:sz="0" w:space="0" w:color="auto"/>
            <w:left w:val="none" w:sz="0" w:space="0" w:color="auto"/>
            <w:bottom w:val="none" w:sz="0" w:space="0" w:color="auto"/>
            <w:right w:val="none" w:sz="0" w:space="0" w:color="auto"/>
          </w:divBdr>
        </w:div>
        <w:div w:id="1521580684">
          <w:marLeft w:val="1166"/>
          <w:marRight w:val="0"/>
          <w:marTop w:val="86"/>
          <w:marBottom w:val="0"/>
          <w:divBdr>
            <w:top w:val="none" w:sz="0" w:space="0" w:color="auto"/>
            <w:left w:val="none" w:sz="0" w:space="0" w:color="auto"/>
            <w:bottom w:val="none" w:sz="0" w:space="0" w:color="auto"/>
            <w:right w:val="none" w:sz="0" w:space="0" w:color="auto"/>
          </w:divBdr>
        </w:div>
        <w:div w:id="1787508672">
          <w:marLeft w:val="1166"/>
          <w:marRight w:val="0"/>
          <w:marTop w:val="86"/>
          <w:marBottom w:val="0"/>
          <w:divBdr>
            <w:top w:val="none" w:sz="0" w:space="0" w:color="auto"/>
            <w:left w:val="none" w:sz="0" w:space="0" w:color="auto"/>
            <w:bottom w:val="none" w:sz="0" w:space="0" w:color="auto"/>
            <w:right w:val="none" w:sz="0" w:space="0" w:color="auto"/>
          </w:divBdr>
        </w:div>
      </w:divsChild>
    </w:div>
    <w:div w:id="1787117604">
      <w:bodyDiv w:val="1"/>
      <w:marLeft w:val="0"/>
      <w:marRight w:val="0"/>
      <w:marTop w:val="0"/>
      <w:marBottom w:val="0"/>
      <w:divBdr>
        <w:top w:val="none" w:sz="0" w:space="0" w:color="auto"/>
        <w:left w:val="none" w:sz="0" w:space="0" w:color="auto"/>
        <w:bottom w:val="none" w:sz="0" w:space="0" w:color="auto"/>
        <w:right w:val="none" w:sz="0" w:space="0" w:color="auto"/>
      </w:divBdr>
    </w:div>
    <w:div w:id="1824083557">
      <w:bodyDiv w:val="1"/>
      <w:marLeft w:val="0"/>
      <w:marRight w:val="0"/>
      <w:marTop w:val="0"/>
      <w:marBottom w:val="0"/>
      <w:divBdr>
        <w:top w:val="none" w:sz="0" w:space="0" w:color="auto"/>
        <w:left w:val="none" w:sz="0" w:space="0" w:color="auto"/>
        <w:bottom w:val="none" w:sz="0" w:space="0" w:color="auto"/>
        <w:right w:val="none" w:sz="0" w:space="0" w:color="auto"/>
      </w:divBdr>
    </w:div>
    <w:div w:id="1908296267">
      <w:bodyDiv w:val="1"/>
      <w:marLeft w:val="0"/>
      <w:marRight w:val="0"/>
      <w:marTop w:val="0"/>
      <w:marBottom w:val="0"/>
      <w:divBdr>
        <w:top w:val="none" w:sz="0" w:space="0" w:color="auto"/>
        <w:left w:val="none" w:sz="0" w:space="0" w:color="auto"/>
        <w:bottom w:val="none" w:sz="0" w:space="0" w:color="auto"/>
        <w:right w:val="none" w:sz="0" w:space="0" w:color="auto"/>
      </w:divBdr>
    </w:div>
    <w:div w:id="1940524693">
      <w:bodyDiv w:val="1"/>
      <w:marLeft w:val="0"/>
      <w:marRight w:val="0"/>
      <w:marTop w:val="0"/>
      <w:marBottom w:val="0"/>
      <w:divBdr>
        <w:top w:val="none" w:sz="0" w:space="0" w:color="auto"/>
        <w:left w:val="none" w:sz="0" w:space="0" w:color="auto"/>
        <w:bottom w:val="none" w:sz="0" w:space="0" w:color="auto"/>
        <w:right w:val="none" w:sz="0" w:space="0" w:color="auto"/>
      </w:divBdr>
      <w:divsChild>
        <w:div w:id="250823015">
          <w:marLeft w:val="2520"/>
          <w:marRight w:val="0"/>
          <w:marTop w:val="77"/>
          <w:marBottom w:val="0"/>
          <w:divBdr>
            <w:top w:val="none" w:sz="0" w:space="0" w:color="auto"/>
            <w:left w:val="none" w:sz="0" w:space="0" w:color="auto"/>
            <w:bottom w:val="none" w:sz="0" w:space="0" w:color="auto"/>
            <w:right w:val="none" w:sz="0" w:space="0" w:color="auto"/>
          </w:divBdr>
        </w:div>
        <w:div w:id="220288342">
          <w:marLeft w:val="2520"/>
          <w:marRight w:val="0"/>
          <w:marTop w:val="77"/>
          <w:marBottom w:val="0"/>
          <w:divBdr>
            <w:top w:val="none" w:sz="0" w:space="0" w:color="auto"/>
            <w:left w:val="none" w:sz="0" w:space="0" w:color="auto"/>
            <w:bottom w:val="none" w:sz="0" w:space="0" w:color="auto"/>
            <w:right w:val="none" w:sz="0" w:space="0" w:color="auto"/>
          </w:divBdr>
        </w:div>
      </w:divsChild>
    </w:div>
    <w:div w:id="2005890257">
      <w:bodyDiv w:val="1"/>
      <w:marLeft w:val="0"/>
      <w:marRight w:val="0"/>
      <w:marTop w:val="0"/>
      <w:marBottom w:val="0"/>
      <w:divBdr>
        <w:top w:val="none" w:sz="0" w:space="0" w:color="auto"/>
        <w:left w:val="none" w:sz="0" w:space="0" w:color="auto"/>
        <w:bottom w:val="none" w:sz="0" w:space="0" w:color="auto"/>
        <w:right w:val="none" w:sz="0" w:space="0" w:color="auto"/>
      </w:divBdr>
      <w:divsChild>
        <w:div w:id="1046300338">
          <w:marLeft w:val="1800"/>
          <w:marRight w:val="0"/>
          <w:marTop w:val="77"/>
          <w:marBottom w:val="0"/>
          <w:divBdr>
            <w:top w:val="none" w:sz="0" w:space="0" w:color="auto"/>
            <w:left w:val="none" w:sz="0" w:space="0" w:color="auto"/>
            <w:bottom w:val="none" w:sz="0" w:space="0" w:color="auto"/>
            <w:right w:val="none" w:sz="0" w:space="0" w:color="auto"/>
          </w:divBdr>
        </w:div>
        <w:div w:id="1562212599">
          <w:marLeft w:val="2520"/>
          <w:marRight w:val="0"/>
          <w:marTop w:val="77"/>
          <w:marBottom w:val="0"/>
          <w:divBdr>
            <w:top w:val="none" w:sz="0" w:space="0" w:color="auto"/>
            <w:left w:val="none" w:sz="0" w:space="0" w:color="auto"/>
            <w:bottom w:val="none" w:sz="0" w:space="0" w:color="auto"/>
            <w:right w:val="none" w:sz="0" w:space="0" w:color="auto"/>
          </w:divBdr>
        </w:div>
        <w:div w:id="433479331">
          <w:marLeft w:val="2520"/>
          <w:marRight w:val="0"/>
          <w:marTop w:val="77"/>
          <w:marBottom w:val="0"/>
          <w:divBdr>
            <w:top w:val="none" w:sz="0" w:space="0" w:color="auto"/>
            <w:left w:val="none" w:sz="0" w:space="0" w:color="auto"/>
            <w:bottom w:val="none" w:sz="0" w:space="0" w:color="auto"/>
            <w:right w:val="none" w:sz="0" w:space="0" w:color="auto"/>
          </w:divBdr>
        </w:div>
        <w:div w:id="669065424">
          <w:marLeft w:val="2520"/>
          <w:marRight w:val="0"/>
          <w:marTop w:val="77"/>
          <w:marBottom w:val="0"/>
          <w:divBdr>
            <w:top w:val="none" w:sz="0" w:space="0" w:color="auto"/>
            <w:left w:val="none" w:sz="0" w:space="0" w:color="auto"/>
            <w:bottom w:val="none" w:sz="0" w:space="0" w:color="auto"/>
            <w:right w:val="none" w:sz="0" w:space="0" w:color="auto"/>
          </w:divBdr>
        </w:div>
        <w:div w:id="381253800">
          <w:marLeft w:val="2520"/>
          <w:marRight w:val="0"/>
          <w:marTop w:val="77"/>
          <w:marBottom w:val="0"/>
          <w:divBdr>
            <w:top w:val="none" w:sz="0" w:space="0" w:color="auto"/>
            <w:left w:val="none" w:sz="0" w:space="0" w:color="auto"/>
            <w:bottom w:val="none" w:sz="0" w:space="0" w:color="auto"/>
            <w:right w:val="none" w:sz="0" w:space="0" w:color="auto"/>
          </w:divBdr>
        </w:div>
      </w:divsChild>
    </w:div>
    <w:div w:id="2032298328">
      <w:bodyDiv w:val="1"/>
      <w:marLeft w:val="0"/>
      <w:marRight w:val="0"/>
      <w:marTop w:val="0"/>
      <w:marBottom w:val="0"/>
      <w:divBdr>
        <w:top w:val="none" w:sz="0" w:space="0" w:color="auto"/>
        <w:left w:val="none" w:sz="0" w:space="0" w:color="auto"/>
        <w:bottom w:val="none" w:sz="0" w:space="0" w:color="auto"/>
        <w:right w:val="none" w:sz="0" w:space="0" w:color="auto"/>
      </w:divBdr>
      <w:divsChild>
        <w:div w:id="1389110161">
          <w:marLeft w:val="1166"/>
          <w:marRight w:val="0"/>
          <w:marTop w:val="86"/>
          <w:marBottom w:val="0"/>
          <w:divBdr>
            <w:top w:val="none" w:sz="0" w:space="0" w:color="auto"/>
            <w:left w:val="none" w:sz="0" w:space="0" w:color="auto"/>
            <w:bottom w:val="none" w:sz="0" w:space="0" w:color="auto"/>
            <w:right w:val="none" w:sz="0" w:space="0" w:color="auto"/>
          </w:divBdr>
        </w:div>
        <w:div w:id="1802990510">
          <w:marLeft w:val="1166"/>
          <w:marRight w:val="0"/>
          <w:marTop w:val="86"/>
          <w:marBottom w:val="0"/>
          <w:divBdr>
            <w:top w:val="none" w:sz="0" w:space="0" w:color="auto"/>
            <w:left w:val="none" w:sz="0" w:space="0" w:color="auto"/>
            <w:bottom w:val="none" w:sz="0" w:space="0" w:color="auto"/>
            <w:right w:val="none" w:sz="0" w:space="0" w:color="auto"/>
          </w:divBdr>
        </w:div>
        <w:div w:id="541286600">
          <w:marLeft w:val="1800"/>
          <w:marRight w:val="0"/>
          <w:marTop w:val="77"/>
          <w:marBottom w:val="0"/>
          <w:divBdr>
            <w:top w:val="none" w:sz="0" w:space="0" w:color="auto"/>
            <w:left w:val="none" w:sz="0" w:space="0" w:color="auto"/>
            <w:bottom w:val="none" w:sz="0" w:space="0" w:color="auto"/>
            <w:right w:val="none" w:sz="0" w:space="0" w:color="auto"/>
          </w:divBdr>
        </w:div>
        <w:div w:id="1797408965">
          <w:marLeft w:val="1800"/>
          <w:marRight w:val="0"/>
          <w:marTop w:val="77"/>
          <w:marBottom w:val="0"/>
          <w:divBdr>
            <w:top w:val="none" w:sz="0" w:space="0" w:color="auto"/>
            <w:left w:val="none" w:sz="0" w:space="0" w:color="auto"/>
            <w:bottom w:val="none" w:sz="0" w:space="0" w:color="auto"/>
            <w:right w:val="none" w:sz="0" w:space="0" w:color="auto"/>
          </w:divBdr>
        </w:div>
        <w:div w:id="1219438515">
          <w:marLeft w:val="1800"/>
          <w:marRight w:val="0"/>
          <w:marTop w:val="77"/>
          <w:marBottom w:val="0"/>
          <w:divBdr>
            <w:top w:val="none" w:sz="0" w:space="0" w:color="auto"/>
            <w:left w:val="none" w:sz="0" w:space="0" w:color="auto"/>
            <w:bottom w:val="none" w:sz="0" w:space="0" w:color="auto"/>
            <w:right w:val="none" w:sz="0" w:space="0" w:color="auto"/>
          </w:divBdr>
        </w:div>
        <w:div w:id="655719282">
          <w:marLeft w:val="1800"/>
          <w:marRight w:val="0"/>
          <w:marTop w:val="77"/>
          <w:marBottom w:val="0"/>
          <w:divBdr>
            <w:top w:val="none" w:sz="0" w:space="0" w:color="auto"/>
            <w:left w:val="none" w:sz="0" w:space="0" w:color="auto"/>
            <w:bottom w:val="none" w:sz="0" w:space="0" w:color="auto"/>
            <w:right w:val="none" w:sz="0" w:space="0" w:color="auto"/>
          </w:divBdr>
        </w:div>
        <w:div w:id="982586170">
          <w:marLeft w:val="1800"/>
          <w:marRight w:val="0"/>
          <w:marTop w:val="77"/>
          <w:marBottom w:val="0"/>
          <w:divBdr>
            <w:top w:val="none" w:sz="0" w:space="0" w:color="auto"/>
            <w:left w:val="none" w:sz="0" w:space="0" w:color="auto"/>
            <w:bottom w:val="none" w:sz="0" w:space="0" w:color="auto"/>
            <w:right w:val="none" w:sz="0" w:space="0" w:color="auto"/>
          </w:divBdr>
        </w:div>
        <w:div w:id="1749380783">
          <w:marLeft w:val="1166"/>
          <w:marRight w:val="0"/>
          <w:marTop w:val="86"/>
          <w:marBottom w:val="0"/>
          <w:divBdr>
            <w:top w:val="none" w:sz="0" w:space="0" w:color="auto"/>
            <w:left w:val="none" w:sz="0" w:space="0" w:color="auto"/>
            <w:bottom w:val="none" w:sz="0" w:space="0" w:color="auto"/>
            <w:right w:val="none" w:sz="0" w:space="0" w:color="auto"/>
          </w:divBdr>
        </w:div>
        <w:div w:id="1066606452">
          <w:marLeft w:val="1166"/>
          <w:marRight w:val="0"/>
          <w:marTop w:val="86"/>
          <w:marBottom w:val="0"/>
          <w:divBdr>
            <w:top w:val="none" w:sz="0" w:space="0" w:color="auto"/>
            <w:left w:val="none" w:sz="0" w:space="0" w:color="auto"/>
            <w:bottom w:val="none" w:sz="0" w:space="0" w:color="auto"/>
            <w:right w:val="none" w:sz="0" w:space="0" w:color="auto"/>
          </w:divBdr>
        </w:div>
        <w:div w:id="319428224">
          <w:marLeft w:val="1800"/>
          <w:marRight w:val="0"/>
          <w:marTop w:val="77"/>
          <w:marBottom w:val="0"/>
          <w:divBdr>
            <w:top w:val="none" w:sz="0" w:space="0" w:color="auto"/>
            <w:left w:val="none" w:sz="0" w:space="0" w:color="auto"/>
            <w:bottom w:val="none" w:sz="0" w:space="0" w:color="auto"/>
            <w:right w:val="none" w:sz="0" w:space="0" w:color="auto"/>
          </w:divBdr>
        </w:div>
        <w:div w:id="589584521">
          <w:marLeft w:val="1800"/>
          <w:marRight w:val="0"/>
          <w:marTop w:val="77"/>
          <w:marBottom w:val="0"/>
          <w:divBdr>
            <w:top w:val="none" w:sz="0" w:space="0" w:color="auto"/>
            <w:left w:val="none" w:sz="0" w:space="0" w:color="auto"/>
            <w:bottom w:val="none" w:sz="0" w:space="0" w:color="auto"/>
            <w:right w:val="none" w:sz="0" w:space="0" w:color="auto"/>
          </w:divBdr>
        </w:div>
        <w:div w:id="1667244106">
          <w:marLeft w:val="1166"/>
          <w:marRight w:val="0"/>
          <w:marTop w:val="86"/>
          <w:marBottom w:val="0"/>
          <w:divBdr>
            <w:top w:val="none" w:sz="0" w:space="0" w:color="auto"/>
            <w:left w:val="none" w:sz="0" w:space="0" w:color="auto"/>
            <w:bottom w:val="none" w:sz="0" w:space="0" w:color="auto"/>
            <w:right w:val="none" w:sz="0" w:space="0" w:color="auto"/>
          </w:divBdr>
        </w:div>
        <w:div w:id="61030913">
          <w:marLeft w:val="1166"/>
          <w:marRight w:val="0"/>
          <w:marTop w:val="86"/>
          <w:marBottom w:val="0"/>
          <w:divBdr>
            <w:top w:val="none" w:sz="0" w:space="0" w:color="auto"/>
            <w:left w:val="none" w:sz="0" w:space="0" w:color="auto"/>
            <w:bottom w:val="none" w:sz="0" w:space="0" w:color="auto"/>
            <w:right w:val="none" w:sz="0" w:space="0" w:color="auto"/>
          </w:divBdr>
        </w:div>
        <w:div w:id="119232121">
          <w:marLeft w:val="1166"/>
          <w:marRight w:val="0"/>
          <w:marTop w:val="86"/>
          <w:marBottom w:val="0"/>
          <w:divBdr>
            <w:top w:val="none" w:sz="0" w:space="0" w:color="auto"/>
            <w:left w:val="none" w:sz="0" w:space="0" w:color="auto"/>
            <w:bottom w:val="none" w:sz="0" w:space="0" w:color="auto"/>
            <w:right w:val="none" w:sz="0" w:space="0" w:color="auto"/>
          </w:divBdr>
        </w:div>
      </w:divsChild>
    </w:div>
    <w:div w:id="2093890285">
      <w:bodyDiv w:val="1"/>
      <w:marLeft w:val="0"/>
      <w:marRight w:val="0"/>
      <w:marTop w:val="0"/>
      <w:marBottom w:val="0"/>
      <w:divBdr>
        <w:top w:val="none" w:sz="0" w:space="0" w:color="auto"/>
        <w:left w:val="none" w:sz="0" w:space="0" w:color="auto"/>
        <w:bottom w:val="none" w:sz="0" w:space="0" w:color="auto"/>
        <w:right w:val="none" w:sz="0" w:space="0" w:color="auto"/>
      </w:divBdr>
      <w:divsChild>
        <w:div w:id="686562269">
          <w:marLeft w:val="1800"/>
          <w:marRight w:val="0"/>
          <w:marTop w:val="72"/>
          <w:marBottom w:val="0"/>
          <w:divBdr>
            <w:top w:val="none" w:sz="0" w:space="0" w:color="auto"/>
            <w:left w:val="none" w:sz="0" w:space="0" w:color="auto"/>
            <w:bottom w:val="none" w:sz="0" w:space="0" w:color="auto"/>
            <w:right w:val="none" w:sz="0" w:space="0" w:color="auto"/>
          </w:divBdr>
        </w:div>
        <w:div w:id="1945646832">
          <w:marLeft w:val="1800"/>
          <w:marRight w:val="0"/>
          <w:marTop w:val="72"/>
          <w:marBottom w:val="0"/>
          <w:divBdr>
            <w:top w:val="none" w:sz="0" w:space="0" w:color="auto"/>
            <w:left w:val="none" w:sz="0" w:space="0" w:color="auto"/>
            <w:bottom w:val="none" w:sz="0" w:space="0" w:color="auto"/>
            <w:right w:val="none" w:sz="0" w:space="0" w:color="auto"/>
          </w:divBdr>
        </w:div>
        <w:div w:id="1626228527">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1512</TotalTime>
  <Pages>2</Pages>
  <Words>519</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Author</cp:lastModifiedBy>
  <cp:revision>987</cp:revision>
  <dcterms:created xsi:type="dcterms:W3CDTF">2021-05-04T05:42:00Z</dcterms:created>
  <dcterms:modified xsi:type="dcterms:W3CDTF">2022-02-11T03:37:00Z</dcterms:modified>
</cp:coreProperties>
</file>